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8B" w:rsidRPr="00340FB3" w:rsidRDefault="00991A8B" w:rsidP="00991A8B">
      <w:pPr>
        <w:pStyle w:val="1Ttulodeltrabajo"/>
        <w:rPr>
          <w:lang w:val="pt-BR"/>
        </w:rPr>
      </w:pPr>
      <w:r>
        <w:rPr>
          <w:lang w:val="pt-BR"/>
        </w:rPr>
        <w:t>A narrativa de Luzilá Gonçalves Ferreira e Isabel Allende: por entre testemunho e experiência de exílio</w:t>
      </w:r>
      <w:r w:rsidRPr="00340FB3">
        <w:rPr>
          <w:lang w:val="pt-BR"/>
        </w:rPr>
        <w:t xml:space="preserve"> </w:t>
      </w:r>
    </w:p>
    <w:p w:rsidR="00991A8B" w:rsidRDefault="00991A8B" w:rsidP="00991A8B">
      <w:pPr>
        <w:pStyle w:val="2aAutordecaptulo"/>
      </w:pPr>
      <w:r>
        <w:t xml:space="preserve">Lopes, Maria Suely de Oliveira </w:t>
      </w:r>
      <w:hyperlink r:id="rId9" w:history="1">
        <w:r w:rsidR="00A60766" w:rsidRPr="00BE44EC">
          <w:rPr>
            <w:rStyle w:val="Hipervnculo"/>
          </w:rPr>
          <w:t>/ UESPI/UFPI/UBA/  suelopes152@hotmail.com</w:t>
        </w:r>
      </w:hyperlink>
    </w:p>
    <w:p w:rsidR="00991A8B" w:rsidRPr="00CE4854" w:rsidRDefault="00991A8B" w:rsidP="00991A8B">
      <w:pPr>
        <w:pStyle w:val="2aAutordecaptulo"/>
      </w:pPr>
    </w:p>
    <w:p w:rsidR="003B5D89" w:rsidRDefault="00991A8B" w:rsidP="003B5D89">
      <w:pPr>
        <w:pStyle w:val="2bCitacomienzodecaptulo"/>
        <w:rPr>
          <w:b/>
          <w:lang w:eastAsia="zh-CN"/>
        </w:rPr>
      </w:pPr>
      <w:r w:rsidRPr="00FA140F">
        <w:rPr>
          <w:lang w:val="pt-BR"/>
        </w:rPr>
        <w:t>[</w:t>
      </w:r>
      <w:r w:rsidR="003B5D89">
        <w:rPr>
          <w:lang w:eastAsia="zh-CN"/>
        </w:rPr>
        <w:t xml:space="preserve">Escrituras del yo como forma del ensayo, Autobiografia, autoficción, cartas, diários, </w:t>
      </w:r>
      <w:bookmarkStart w:id="0" w:name="_GoBack"/>
      <w:bookmarkEnd w:id="0"/>
      <w:r w:rsidR="003B5D89">
        <w:rPr>
          <w:lang w:eastAsia="zh-CN"/>
        </w:rPr>
        <w:t>testimonios en textos latino-americanos</w:t>
      </w:r>
      <w:r w:rsidR="003B5D89">
        <w:rPr>
          <w:b/>
          <w:lang w:eastAsia="zh-CN"/>
        </w:rPr>
        <w:t>.</w:t>
      </w:r>
    </w:p>
    <w:p w:rsidR="00991A8B" w:rsidRPr="00FA140F" w:rsidRDefault="00991A8B" w:rsidP="00991A8B">
      <w:pPr>
        <w:pStyle w:val="2bCitacomienzodecaptulo"/>
        <w:rPr>
          <w:lang w:val="pt-BR"/>
        </w:rPr>
      </w:pPr>
      <w:r>
        <w:rPr>
          <w:lang w:val="pt-BR"/>
        </w:rPr>
        <w:t>-</w:t>
      </w:r>
      <w:r w:rsidRPr="00FA140F">
        <w:rPr>
          <w:lang w:val="pt-BR"/>
        </w:rPr>
        <w:t xml:space="preserve">Tipo de trabalho: </w:t>
      </w:r>
      <w:r>
        <w:rPr>
          <w:lang w:val="pt-BR"/>
        </w:rPr>
        <w:t>apresentação oral</w:t>
      </w:r>
    </w:p>
    <w:p w:rsidR="00991A8B" w:rsidRPr="00633BC5" w:rsidRDefault="00991A8B" w:rsidP="00991A8B">
      <w:pPr>
        <w:pStyle w:val="Palabrasclave"/>
        <w:numPr>
          <w:ilvl w:val="0"/>
          <w:numId w:val="0"/>
        </w:numPr>
        <w:ind w:left="360" w:hanging="360"/>
        <w:rPr>
          <w:shd w:val="clear" w:color="auto" w:fill="FFFFFF"/>
          <w:lang w:val="pt-BR" w:bidi="hi-IN"/>
        </w:rPr>
      </w:pPr>
      <w:r w:rsidRPr="00633BC5">
        <w:rPr>
          <w:lang w:val="pt-BR"/>
        </w:rPr>
        <w:t>Palavras chaves:</w:t>
      </w:r>
      <w:r w:rsidRPr="00633BC5">
        <w:rPr>
          <w:color w:val="auto"/>
          <w:lang w:val="pt-BR"/>
        </w:rPr>
        <w:t xml:space="preserve"> </w:t>
      </w:r>
      <w:r w:rsidRPr="00633BC5">
        <w:rPr>
          <w:sz w:val="24"/>
          <w:szCs w:val="24"/>
        </w:rPr>
        <w:t>Narrativas Literárias</w:t>
      </w:r>
      <w:r>
        <w:rPr>
          <w:sz w:val="24"/>
          <w:szCs w:val="24"/>
        </w:rPr>
        <w:t>-</w:t>
      </w:r>
      <w:r w:rsidRPr="00633BC5">
        <w:rPr>
          <w:sz w:val="24"/>
          <w:szCs w:val="24"/>
        </w:rPr>
        <w:t>Testemunho</w:t>
      </w:r>
      <w:r w:rsidR="00AD752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33BC5">
        <w:rPr>
          <w:sz w:val="24"/>
          <w:szCs w:val="24"/>
        </w:rPr>
        <w:t>Exílio</w:t>
      </w:r>
      <w:r>
        <w:rPr>
          <w:sz w:val="24"/>
          <w:szCs w:val="24"/>
        </w:rPr>
        <w:t>-Ferreira-Alliende</w:t>
      </w:r>
      <w:r w:rsidRPr="00633BC5">
        <w:rPr>
          <w:sz w:val="24"/>
          <w:szCs w:val="24"/>
        </w:rPr>
        <w:t xml:space="preserve">. </w:t>
      </w:r>
    </w:p>
    <w:p w:rsidR="00991A8B" w:rsidRDefault="00991A8B" w:rsidP="00991A8B">
      <w:pPr>
        <w:pStyle w:val="31Subttulo1"/>
      </w:pPr>
      <w:r w:rsidRPr="009A196F">
        <w:t>Resumo</w:t>
      </w:r>
    </w:p>
    <w:p w:rsidR="00991A8B" w:rsidRDefault="00991A8B" w:rsidP="001B6F5D">
      <w:pPr>
        <w:pStyle w:val="31Subttulo1"/>
        <w:numPr>
          <w:ilvl w:val="0"/>
          <w:numId w:val="0"/>
        </w:numPr>
        <w:spacing w:before="0" w:after="0" w:line="360" w:lineRule="auto"/>
        <w:jc w:val="both"/>
      </w:pPr>
      <w:r w:rsidRPr="00FB019B">
        <w:rPr>
          <w:rFonts w:ascii="Times New Roman" w:hAnsi="Times New Roman"/>
          <w:b w:val="0"/>
          <w:sz w:val="22"/>
          <w:szCs w:val="22"/>
        </w:rPr>
        <w:t xml:space="preserve">O presente trabalho tem com objetivo  analisar as narrativas  Voltar a Palermo </w:t>
      </w:r>
      <w:r w:rsidR="005C752F" w:rsidRPr="00FB019B">
        <w:rPr>
          <w:rFonts w:ascii="Times New Roman" w:hAnsi="Times New Roman"/>
          <w:b w:val="0"/>
          <w:sz w:val="22"/>
          <w:szCs w:val="22"/>
        </w:rPr>
        <w:t>(2002</w:t>
      </w:r>
      <w:r w:rsidRPr="00FB019B">
        <w:rPr>
          <w:rFonts w:ascii="Times New Roman" w:hAnsi="Times New Roman"/>
          <w:b w:val="0"/>
          <w:sz w:val="22"/>
          <w:szCs w:val="22"/>
        </w:rPr>
        <w:t xml:space="preserve"> ) de Luzilá Gonçalves Ferreira através da escrita testemunhal que será auxiliada pela metaficção historiográfica e Mi Pais Inventado (2003) de Isabel Allende por meio da experiência de exílio. A narrativa de Luzilá aborda as memórias de uma professora brasileira que  viveu na Argentina e por um período e testemunhou  rastros da ditadura  através da personagem Maria. Estando no Brasil </w:t>
      </w:r>
      <w:r w:rsidR="005C752F">
        <w:rPr>
          <w:rFonts w:ascii="Times New Roman" w:hAnsi="Times New Roman"/>
          <w:b w:val="0"/>
          <w:sz w:val="22"/>
          <w:szCs w:val="22"/>
        </w:rPr>
        <w:t xml:space="preserve">, </w:t>
      </w:r>
      <w:r w:rsidRPr="00FB019B">
        <w:rPr>
          <w:rFonts w:ascii="Times New Roman" w:hAnsi="Times New Roman"/>
          <w:b w:val="0"/>
          <w:sz w:val="22"/>
          <w:szCs w:val="22"/>
        </w:rPr>
        <w:t>sente necessidade de  Voltar a Palermo, um pequeno bairro de Buenos Aires, onde viveu 20 anos sofrendo as agruras da ditadura militar. Em meio aos relatos que fluem de suas lembranças,  conta o motivo que a fez voltar, suas esperanças e a vontade de reviver o amor que ali abandonou. Isabel Allende em sua narrativa conduz a trama em primeira pessoa, a narradora se identifica com a personagem que a representa; sugere uma retrospectiva de sua própria vida, contextualizando fatos políticos que envolveram sua família, tendo se exilado no Chile, após a queda de Salvador Allende. As duas obras s</w:t>
      </w:r>
      <w:r w:rsidR="005C752F">
        <w:rPr>
          <w:rFonts w:ascii="Times New Roman" w:hAnsi="Times New Roman"/>
          <w:b w:val="0"/>
          <w:sz w:val="22"/>
          <w:szCs w:val="22"/>
        </w:rPr>
        <w:t>aõ</w:t>
      </w:r>
      <w:r w:rsidRPr="00FB019B">
        <w:rPr>
          <w:rFonts w:ascii="Times New Roman" w:hAnsi="Times New Roman"/>
          <w:b w:val="0"/>
          <w:sz w:val="22"/>
          <w:szCs w:val="22"/>
        </w:rPr>
        <w:t xml:space="preserve"> analisadas pelo viés histórico. As narrativas, em estudo, trazem a ditadura com ponto de discussão, sendo que, além desta temática, Ferreira problematiza a teoria do testemunho e Allende, mais a frente desta teoria, </w:t>
      </w:r>
      <w:r w:rsidR="005C752F">
        <w:rPr>
          <w:rFonts w:ascii="Times New Roman" w:hAnsi="Times New Roman"/>
          <w:b w:val="0"/>
          <w:sz w:val="22"/>
          <w:szCs w:val="22"/>
        </w:rPr>
        <w:t>p</w:t>
      </w:r>
      <w:r w:rsidRPr="00FB019B">
        <w:rPr>
          <w:rFonts w:ascii="Times New Roman" w:hAnsi="Times New Roman"/>
          <w:b w:val="0"/>
          <w:sz w:val="22"/>
          <w:szCs w:val="22"/>
        </w:rPr>
        <w:t>oe em querela a experiência de exílio.</w:t>
      </w:r>
      <w:r w:rsidR="005C752F">
        <w:rPr>
          <w:rFonts w:ascii="Times New Roman" w:hAnsi="Times New Roman"/>
          <w:b w:val="0"/>
          <w:sz w:val="22"/>
          <w:szCs w:val="22"/>
        </w:rPr>
        <w:t xml:space="preserve"> Podemos</w:t>
      </w:r>
      <w:r w:rsidR="005C0FCA">
        <w:rPr>
          <w:rFonts w:ascii="Times New Roman" w:hAnsi="Times New Roman"/>
          <w:b w:val="0"/>
          <w:sz w:val="22"/>
          <w:szCs w:val="22"/>
        </w:rPr>
        <w:t xml:space="preserve"> </w:t>
      </w:r>
      <w:r w:rsidR="005C752F">
        <w:rPr>
          <w:rFonts w:ascii="Times New Roman" w:hAnsi="Times New Roman"/>
          <w:b w:val="0"/>
          <w:sz w:val="22"/>
          <w:szCs w:val="22"/>
        </w:rPr>
        <w:t xml:space="preserve">concluir </w:t>
      </w:r>
      <w:r w:rsidR="005C752F" w:rsidRPr="005C752F">
        <w:rPr>
          <w:rFonts w:ascii="Times New Roman" w:hAnsi="Times New Roman"/>
          <w:b w:val="0"/>
          <w:sz w:val="22"/>
          <w:szCs w:val="22"/>
        </w:rPr>
        <w:t>que as personagens</w:t>
      </w:r>
      <w:r w:rsidR="005C752F" w:rsidRPr="00E228E8">
        <w:rPr>
          <w:rFonts w:ascii="Times New Roman" w:hAnsi="Times New Roman"/>
          <w:b w:val="0"/>
          <w:i w:val="0"/>
          <w:sz w:val="22"/>
          <w:szCs w:val="22"/>
        </w:rPr>
        <w:t xml:space="preserve">, </w:t>
      </w:r>
      <w:r w:rsidR="005C752F" w:rsidRPr="005C752F">
        <w:rPr>
          <w:rFonts w:ascii="Times New Roman" w:hAnsi="Times New Roman"/>
          <w:b w:val="0"/>
          <w:sz w:val="22"/>
          <w:szCs w:val="22"/>
        </w:rPr>
        <w:t>o ambiente histórico e político são ressemantizados partir da história oficial.trazendo a tona questão do exílio e do trauma</w:t>
      </w:r>
      <w:r w:rsidR="00236B18">
        <w:rPr>
          <w:rFonts w:ascii="Times New Roman" w:hAnsi="Times New Roman"/>
          <w:b w:val="0"/>
          <w:sz w:val="22"/>
          <w:szCs w:val="22"/>
        </w:rPr>
        <w:t>.</w:t>
      </w:r>
      <w:r w:rsidRPr="00FB019B">
        <w:rPr>
          <w:rFonts w:ascii="Times New Roman" w:hAnsi="Times New Roman"/>
          <w:b w:val="0"/>
          <w:sz w:val="22"/>
          <w:szCs w:val="22"/>
        </w:rPr>
        <w:t>Utiliza</w:t>
      </w:r>
      <w:r w:rsidR="00236B18">
        <w:rPr>
          <w:rFonts w:ascii="Times New Roman" w:hAnsi="Times New Roman"/>
          <w:b w:val="0"/>
          <w:sz w:val="22"/>
          <w:szCs w:val="22"/>
        </w:rPr>
        <w:t>mos</w:t>
      </w:r>
      <w:r w:rsidRPr="00FB019B">
        <w:rPr>
          <w:rFonts w:ascii="Times New Roman" w:hAnsi="Times New Roman"/>
          <w:b w:val="0"/>
          <w:sz w:val="22"/>
          <w:szCs w:val="22"/>
        </w:rPr>
        <w:t xml:space="preserve"> como marco teórico os seguintes  nomes: Colling(2012) ,Viana(1995), Hutcheon(1991), Salgueiro(2011),entre outros que poderão ser citados ao longo do trabalho.</w:t>
      </w:r>
    </w:p>
    <w:p w:rsidR="00991A8B" w:rsidRPr="007E33C7" w:rsidRDefault="00991A8B" w:rsidP="00991A8B">
      <w:pPr>
        <w:pStyle w:val="31Subttulo1"/>
        <w:rPr>
          <w:rFonts w:ascii="Times New Roman" w:eastAsia="Times New Roman" w:hAnsi="Times New Roman"/>
          <w:b w:val="0"/>
          <w:bCs w:val="0"/>
          <w:sz w:val="22"/>
          <w:szCs w:val="22"/>
          <w:lang w:val="pt-BR" w:eastAsia="es-ES"/>
        </w:rPr>
      </w:pPr>
      <w:r w:rsidRPr="007E33C7">
        <w:t>I</w:t>
      </w:r>
      <w:r w:rsidR="007E33C7" w:rsidRPr="007E33C7">
        <w:t>ntrodução</w:t>
      </w:r>
      <w:r w:rsidRPr="007E33C7">
        <w:rPr>
          <w:rFonts w:ascii="Times New Roman" w:eastAsia="Times New Roman" w:hAnsi="Times New Roman"/>
          <w:b w:val="0"/>
          <w:bCs w:val="0"/>
          <w:sz w:val="22"/>
          <w:szCs w:val="22"/>
          <w:lang w:val="pt-BR" w:eastAsia="es-ES"/>
        </w:rPr>
        <w:t xml:space="preserve"> </w:t>
      </w:r>
    </w:p>
    <w:p w:rsidR="00991A8B" w:rsidRPr="00EA12E2" w:rsidRDefault="00991A8B" w:rsidP="00991A8B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lang w:val="pt-BR"/>
        </w:rPr>
      </w:pPr>
      <w:r w:rsidRPr="00EA12E2">
        <w:rPr>
          <w:i/>
          <w:color w:val="000000"/>
          <w:sz w:val="22"/>
          <w:szCs w:val="22"/>
          <w:lang w:val="pt-BR"/>
        </w:rPr>
        <w:lastRenderedPageBreak/>
        <w:t xml:space="preserve">A possibilidade de estudar as obras Voltar a Palermo (2002) e Meu País Inventado na perspectiva histórica nos faz lembrar </w:t>
      </w:r>
      <w:r w:rsidRPr="00EA12E2">
        <w:rPr>
          <w:sz w:val="22"/>
          <w:szCs w:val="22"/>
          <w:lang w:val="pt-BR"/>
        </w:rPr>
        <w:t xml:space="preserve">Walter Benjamin (1974), com a sua concepção do historiador como um </w:t>
      </w:r>
      <w:r w:rsidRPr="00EA12E2">
        <w:rPr>
          <w:i/>
          <w:iCs/>
          <w:sz w:val="22"/>
          <w:szCs w:val="22"/>
          <w:lang w:val="pt-BR"/>
        </w:rPr>
        <w:t>chiffonier</w:t>
      </w:r>
      <w:r w:rsidRPr="00EA12E2">
        <w:rPr>
          <w:sz w:val="22"/>
          <w:szCs w:val="22"/>
          <w:lang w:val="pt-BR"/>
        </w:rPr>
        <w:t xml:space="preserve">, que também abriu a historiografia para o discurso testemunhal, apesar de ter utilizado pouco este conceito.  Há uma frase famosa das suas teses </w:t>
      </w:r>
      <w:r w:rsidRPr="00EA12E2">
        <w:rPr>
          <w:i/>
          <w:iCs/>
          <w:sz w:val="22"/>
          <w:szCs w:val="22"/>
          <w:lang w:val="pt-BR"/>
        </w:rPr>
        <w:t xml:space="preserve">Sobre o conceito da história </w:t>
      </w:r>
      <w:r w:rsidRPr="00EA12E2">
        <w:rPr>
          <w:sz w:val="22"/>
          <w:szCs w:val="22"/>
          <w:lang w:val="pt-BR"/>
        </w:rPr>
        <w:t xml:space="preserve">(Benjamin, 1974), não deixa suspeita quanto à sua forte proposta de leitura da história na sua face testemunhal. Refiro Refiro-me evidentemente à frase: “nunca existiu um documento da cultura que não fosse ao mesmo tempo um [documento] da barbárie” (BENJAMIN, 1974: 696; tradução de Seligmann- Silva, 2008, ).Pensar o  testemunho é pensar na experiência do Exílio. A nossa pretensão com esse estudo é articular esses dois conceitos às obras de Ferreira e Alliende, pensando  que embora o testemunho e o exílio seja um fenômeno coletivo para aqueles que o sofrem, é um matéria individual. </w:t>
      </w:r>
    </w:p>
    <w:p w:rsidR="00991A8B" w:rsidRPr="00EA12E2" w:rsidRDefault="00991A8B" w:rsidP="00991A8B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4"/>
          <w:szCs w:val="24"/>
          <w:lang w:val="pt-BR"/>
        </w:rPr>
      </w:pPr>
    </w:p>
    <w:p w:rsidR="00991A8B" w:rsidRPr="007E33C7" w:rsidRDefault="00991A8B" w:rsidP="00991A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8"/>
          <w:szCs w:val="28"/>
          <w:lang w:val="pt-BR"/>
        </w:rPr>
      </w:pPr>
      <w:r w:rsidRPr="007E33C7">
        <w:rPr>
          <w:rFonts w:ascii="Arial" w:hAnsi="Arial" w:cs="Arial"/>
          <w:b/>
          <w:i/>
          <w:sz w:val="28"/>
          <w:szCs w:val="28"/>
          <w:lang w:val="pt-BR"/>
        </w:rPr>
        <w:t>Á propósito das autoras</w:t>
      </w:r>
    </w:p>
    <w:p w:rsidR="00991A8B" w:rsidRDefault="00991A8B" w:rsidP="00991A8B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pt-BR"/>
        </w:rPr>
      </w:pPr>
    </w:p>
    <w:p w:rsidR="00991A8B" w:rsidRPr="00EE3B08" w:rsidRDefault="00991A8B" w:rsidP="007E33C7">
      <w:pPr>
        <w:spacing w:line="360" w:lineRule="auto"/>
        <w:jc w:val="both"/>
        <w:rPr>
          <w:sz w:val="22"/>
          <w:szCs w:val="22"/>
          <w:lang w:val="pt-BR"/>
        </w:rPr>
      </w:pPr>
      <w:r w:rsidRPr="00EE3B08">
        <w:rPr>
          <w:sz w:val="22"/>
          <w:szCs w:val="22"/>
          <w:lang w:val="pt-BR"/>
        </w:rPr>
        <w:t xml:space="preserve">Luzilá Gonçalves Ferreira foi professora da Universidade Federal de Pernambuco, tendo realizado pesquisa de doutorado sobre Literatura Feminina no século XIX em Paris. É autora de </w:t>
      </w:r>
      <w:r w:rsidRPr="00EE3B08">
        <w:rPr>
          <w:b/>
          <w:sz w:val="22"/>
          <w:szCs w:val="22"/>
          <w:lang w:val="pt-BR"/>
        </w:rPr>
        <w:t>Ensaios sobre Fernando Pessoa</w:t>
      </w:r>
      <w:r w:rsidRPr="00EE3B08">
        <w:rPr>
          <w:sz w:val="22"/>
          <w:szCs w:val="22"/>
          <w:lang w:val="pt-BR"/>
        </w:rPr>
        <w:t xml:space="preserve"> e criou romance, muito além do corpo, premiado na IV Bienal Nestlé de Literatura. Seu livro </w:t>
      </w:r>
      <w:r w:rsidRPr="00EE3B08">
        <w:rPr>
          <w:b/>
          <w:i/>
          <w:sz w:val="22"/>
          <w:szCs w:val="22"/>
          <w:lang w:val="pt-BR"/>
        </w:rPr>
        <w:t>Os Rios Turvos</w:t>
      </w:r>
      <w:r w:rsidRPr="00EE3B08">
        <w:rPr>
          <w:sz w:val="22"/>
          <w:szCs w:val="22"/>
          <w:lang w:val="pt-BR"/>
        </w:rPr>
        <w:t xml:space="preserve"> ganhou o Prêmio Joaquim Nabuco de Biografias da Academia Brasileira de Letras (1993). É a primeira mulher a comandar o Instituto Arqueológico, Histórico e Geográfico de Pernambuco (IAHGP).</w:t>
      </w:r>
    </w:p>
    <w:p w:rsidR="00991A8B" w:rsidRPr="00EE3B08" w:rsidRDefault="00991A8B" w:rsidP="007E33C7">
      <w:pPr>
        <w:spacing w:line="360" w:lineRule="auto"/>
        <w:jc w:val="both"/>
        <w:rPr>
          <w:sz w:val="22"/>
          <w:szCs w:val="22"/>
          <w:lang w:val="pt-BR"/>
        </w:rPr>
      </w:pPr>
      <w:r w:rsidRPr="00EE3B08">
        <w:rPr>
          <w:sz w:val="22"/>
          <w:szCs w:val="22"/>
          <w:lang w:val="pt-BR"/>
        </w:rPr>
        <w:t xml:space="preserve">Com um trabalho engajado na história de Pernambuco e principalmente das mulheres, ela escreveu </w:t>
      </w:r>
      <w:r w:rsidRPr="00EE3B08">
        <w:rPr>
          <w:i/>
          <w:sz w:val="22"/>
          <w:szCs w:val="22"/>
          <w:lang w:val="pt-BR"/>
        </w:rPr>
        <w:t>Um Discurso Feminino Possível</w:t>
      </w:r>
      <w:r w:rsidRPr="00EE3B08">
        <w:rPr>
          <w:sz w:val="22"/>
          <w:szCs w:val="22"/>
          <w:lang w:val="pt-BR"/>
        </w:rPr>
        <w:t xml:space="preserve"> (1992), sobre a Imprensa Feminina em Pernambuco no século XIX e </w:t>
      </w:r>
      <w:r w:rsidRPr="00EE3B08">
        <w:rPr>
          <w:i/>
          <w:sz w:val="22"/>
          <w:szCs w:val="22"/>
          <w:lang w:val="pt-BR"/>
        </w:rPr>
        <w:t>Suave Amazonas, Mulheres e Abolição</w:t>
      </w:r>
      <w:r w:rsidRPr="00EE3B08">
        <w:rPr>
          <w:sz w:val="22"/>
          <w:szCs w:val="22"/>
          <w:lang w:val="pt-BR"/>
        </w:rPr>
        <w:t xml:space="preserve"> </w:t>
      </w:r>
      <w:r w:rsidRPr="00EE3B08">
        <w:rPr>
          <w:i/>
          <w:sz w:val="22"/>
          <w:szCs w:val="22"/>
          <w:lang w:val="pt-BR"/>
        </w:rPr>
        <w:t>no Nordeste</w:t>
      </w:r>
      <w:r w:rsidRPr="00EE3B08">
        <w:rPr>
          <w:sz w:val="22"/>
          <w:szCs w:val="22"/>
          <w:lang w:val="pt-BR"/>
        </w:rPr>
        <w:t xml:space="preserve"> (1999). Dentre os romances históricos além de </w:t>
      </w:r>
      <w:r w:rsidRPr="00EE3B08">
        <w:rPr>
          <w:i/>
          <w:sz w:val="22"/>
          <w:szCs w:val="22"/>
          <w:lang w:val="pt-BR"/>
        </w:rPr>
        <w:t xml:space="preserve">Os Rios Turvos </w:t>
      </w:r>
      <w:r w:rsidRPr="00EE3B08">
        <w:rPr>
          <w:sz w:val="22"/>
          <w:szCs w:val="22"/>
          <w:lang w:val="pt-BR"/>
        </w:rPr>
        <w:t xml:space="preserve">(1993), destacam-se, </w:t>
      </w:r>
      <w:r w:rsidRPr="00EE3B08">
        <w:rPr>
          <w:i/>
          <w:sz w:val="22"/>
          <w:szCs w:val="22"/>
          <w:lang w:val="pt-BR"/>
        </w:rPr>
        <w:t>Voltar a Palermo</w:t>
      </w:r>
      <w:r w:rsidRPr="00EE3B08">
        <w:rPr>
          <w:sz w:val="22"/>
          <w:szCs w:val="22"/>
          <w:lang w:val="pt-BR"/>
        </w:rPr>
        <w:t xml:space="preserve"> (2002) </w:t>
      </w:r>
      <w:r w:rsidRPr="00EE3B08">
        <w:rPr>
          <w:i/>
          <w:sz w:val="22"/>
          <w:szCs w:val="22"/>
          <w:lang w:val="pt-BR"/>
        </w:rPr>
        <w:t>A Garça Mal Ferida</w:t>
      </w:r>
      <w:r w:rsidRPr="00EE3B08">
        <w:rPr>
          <w:sz w:val="22"/>
          <w:szCs w:val="22"/>
          <w:lang w:val="pt-BR"/>
        </w:rPr>
        <w:t xml:space="preserve"> (2002), </w:t>
      </w:r>
      <w:r w:rsidRPr="00EE3B08">
        <w:rPr>
          <w:i/>
          <w:sz w:val="22"/>
          <w:szCs w:val="22"/>
          <w:lang w:val="pt-BR"/>
        </w:rPr>
        <w:t>No Tempo Frágil das Horas</w:t>
      </w:r>
      <w:r w:rsidRPr="00EE3B08">
        <w:rPr>
          <w:sz w:val="22"/>
          <w:szCs w:val="22"/>
          <w:lang w:val="pt-BR"/>
        </w:rPr>
        <w:t xml:space="preserve"> (2000). As obras citadas por último abordam as damas da aristocracia canavieira decadente em Pernambuco no século XIX. A primeira, objeto de análise neste trabalho, configura o contexto da ditadura militar no século XX.</w:t>
      </w:r>
    </w:p>
    <w:p w:rsidR="00991A8B" w:rsidRPr="00EE3B08" w:rsidRDefault="00991A8B" w:rsidP="007E33C7">
      <w:pPr>
        <w:spacing w:line="360" w:lineRule="auto"/>
        <w:jc w:val="both"/>
        <w:rPr>
          <w:sz w:val="22"/>
          <w:szCs w:val="22"/>
          <w:lang w:val="pt-BR"/>
        </w:rPr>
      </w:pPr>
      <w:r w:rsidRPr="00EE3B08">
        <w:rPr>
          <w:sz w:val="22"/>
          <w:szCs w:val="22"/>
          <w:lang w:val="pt-BR"/>
        </w:rPr>
        <w:t xml:space="preserve">Sobre Isabel Allende, dizemos que ela deixou o Chile dois anos depois da queda do presidente socialista Salvador Allende, passando vários anos na Venezuela e depois residindo definitivamente nos Estados Unidos após seu segundo casamento com um cidadão norte-americano. Na Venezuela, ao começar a escrever cartas para seu avô, tentando superar o sentimento de solidão, a então jornalista iniciou uma profícua carreira de escritora, que provavelmente não teria acontecido sem a experiência do exílio, como narra à autora. Para ela, “o Chile é o fim de todos os caminhos, uma lança ao sul do Sul da América, quatro mil e trezentos quilômetros de montanhas, vales, lagos, mar”(M.P.I.,p, 17,2003).Ao contar a história </w:t>
      </w:r>
      <w:r w:rsidRPr="00EE3B08">
        <w:rPr>
          <w:sz w:val="22"/>
          <w:szCs w:val="22"/>
          <w:lang w:val="pt-BR"/>
        </w:rPr>
        <w:lastRenderedPageBreak/>
        <w:t xml:space="preserve">do Chile de maneira eloquente, evidencia o papel da mulher através de Inés Suárez ,o leitor pode suspeitar que a autora demonstra identificação com as mulheres pioneiras que fizeram o inicio  da história do Chile, seu país(embora tenha nascido no Peru) onde construiu sua identidade até exilar-se na Venezuela após a queda de Salvador Allende. Em </w:t>
      </w:r>
      <w:r w:rsidRPr="00EE3B08">
        <w:rPr>
          <w:i/>
          <w:sz w:val="22"/>
          <w:szCs w:val="22"/>
          <w:lang w:val="pt-BR"/>
        </w:rPr>
        <w:t xml:space="preserve">Mi País Inventado </w:t>
      </w:r>
      <w:r w:rsidRPr="00EE3B08">
        <w:rPr>
          <w:sz w:val="22"/>
          <w:szCs w:val="22"/>
          <w:lang w:val="pt-BR"/>
        </w:rPr>
        <w:t xml:space="preserve">(2003), há um eu do  passado que se diferencia do eu atual, já que o narrador não relata apenas o que aconteceu no passado, mas também o processo pelo qual o eu do passado se transformou no eu do presente.É recorrente em sua narrativa o  tema da participação da autora na vida social do seu país. </w:t>
      </w:r>
    </w:p>
    <w:p w:rsidR="00991A8B" w:rsidRPr="00EE3B08" w:rsidRDefault="00991A8B" w:rsidP="007E33C7">
      <w:pPr>
        <w:spacing w:line="360" w:lineRule="auto"/>
        <w:jc w:val="both"/>
        <w:rPr>
          <w:b/>
          <w:sz w:val="22"/>
          <w:szCs w:val="22"/>
          <w:lang w:val="pt-BR"/>
        </w:rPr>
      </w:pPr>
      <w:r w:rsidRPr="00EE3B08">
        <w:rPr>
          <w:sz w:val="22"/>
          <w:szCs w:val="22"/>
          <w:lang w:val="pt-BR"/>
        </w:rPr>
        <w:t>Iniciamos a apresentação das obras em estudo, considerando a temática do testemunho e do exilio.</w:t>
      </w:r>
    </w:p>
    <w:p w:rsidR="00991A8B" w:rsidRPr="00EE3B08" w:rsidRDefault="00991A8B" w:rsidP="00991A8B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pt-BR"/>
        </w:rPr>
      </w:pPr>
    </w:p>
    <w:p w:rsidR="00991A8B" w:rsidRDefault="00991A8B" w:rsidP="00991A8B">
      <w:pPr>
        <w:tabs>
          <w:tab w:val="left" w:pos="851"/>
        </w:tabs>
        <w:jc w:val="both"/>
        <w:rPr>
          <w:rFonts w:ascii="Arial" w:hAnsi="Arial" w:cs="Arial"/>
          <w:b/>
          <w:i/>
          <w:sz w:val="28"/>
          <w:szCs w:val="28"/>
          <w:lang w:val="pt-BR"/>
        </w:rPr>
      </w:pPr>
      <w:r w:rsidRPr="007E33C7">
        <w:rPr>
          <w:rFonts w:ascii="Arial" w:hAnsi="Arial" w:cs="Arial"/>
          <w:i/>
          <w:color w:val="FF0000"/>
          <w:sz w:val="28"/>
          <w:szCs w:val="28"/>
          <w:lang w:val="pt-BR"/>
        </w:rPr>
        <w:t xml:space="preserve">      </w:t>
      </w:r>
      <w:r w:rsidRPr="007E33C7">
        <w:rPr>
          <w:rFonts w:ascii="Arial" w:hAnsi="Arial" w:cs="Arial"/>
          <w:b/>
          <w:i/>
          <w:sz w:val="28"/>
          <w:szCs w:val="28"/>
          <w:lang w:val="pt-BR"/>
        </w:rPr>
        <w:t>P</w:t>
      </w:r>
      <w:r w:rsidR="00503430">
        <w:rPr>
          <w:rFonts w:ascii="Arial" w:hAnsi="Arial" w:cs="Arial"/>
          <w:b/>
          <w:i/>
          <w:sz w:val="28"/>
          <w:szCs w:val="28"/>
          <w:lang w:val="pt-BR"/>
        </w:rPr>
        <w:t xml:space="preserve">or entre testemunho e </w:t>
      </w:r>
      <w:r w:rsidR="00A5275E">
        <w:rPr>
          <w:rFonts w:ascii="Arial" w:hAnsi="Arial" w:cs="Arial"/>
          <w:b/>
          <w:i/>
          <w:sz w:val="28"/>
          <w:szCs w:val="28"/>
          <w:lang w:val="pt-BR"/>
        </w:rPr>
        <w:t>exílio</w:t>
      </w:r>
      <w:r w:rsidR="00A5275E" w:rsidRPr="007E33C7">
        <w:rPr>
          <w:rFonts w:ascii="Arial" w:hAnsi="Arial" w:cs="Arial"/>
          <w:b/>
          <w:i/>
          <w:sz w:val="28"/>
          <w:szCs w:val="28"/>
          <w:lang w:val="pt-BR"/>
        </w:rPr>
        <w:t>:</w:t>
      </w:r>
      <w:r w:rsidRPr="007E33C7">
        <w:rPr>
          <w:rFonts w:ascii="Arial" w:hAnsi="Arial" w:cs="Arial"/>
          <w:b/>
          <w:i/>
          <w:sz w:val="28"/>
          <w:szCs w:val="28"/>
          <w:lang w:val="pt-BR"/>
        </w:rPr>
        <w:t xml:space="preserve"> reflexões analíticas em torno de  Voltar a Palermo e Meu País Inventado</w:t>
      </w:r>
    </w:p>
    <w:p w:rsidR="0071627D" w:rsidRPr="007E33C7" w:rsidRDefault="0071627D" w:rsidP="00991A8B">
      <w:pPr>
        <w:tabs>
          <w:tab w:val="left" w:pos="851"/>
        </w:tabs>
        <w:jc w:val="both"/>
        <w:rPr>
          <w:rFonts w:ascii="Arial" w:hAnsi="Arial" w:cs="Arial"/>
          <w:b/>
          <w:i/>
          <w:sz w:val="28"/>
          <w:szCs w:val="28"/>
          <w:lang w:val="pt-BR"/>
        </w:rPr>
      </w:pPr>
    </w:p>
    <w:p w:rsidR="00991A8B" w:rsidRDefault="00991A8B" w:rsidP="00991A8B">
      <w:pPr>
        <w:tabs>
          <w:tab w:val="left" w:pos="851"/>
        </w:tabs>
        <w:jc w:val="both"/>
        <w:rPr>
          <w:b/>
          <w:lang w:val="pt-BR"/>
        </w:rPr>
      </w:pPr>
    </w:p>
    <w:p w:rsidR="00991A8B" w:rsidRPr="00EE3B08" w:rsidRDefault="00991A8B" w:rsidP="00991A8B">
      <w:pPr>
        <w:tabs>
          <w:tab w:val="left" w:pos="851"/>
        </w:tabs>
        <w:spacing w:line="360" w:lineRule="auto"/>
        <w:jc w:val="both"/>
        <w:rPr>
          <w:sz w:val="22"/>
          <w:szCs w:val="22"/>
          <w:lang w:val="pt-BR"/>
        </w:rPr>
      </w:pPr>
      <w:r w:rsidRPr="00EE3B08">
        <w:rPr>
          <w:sz w:val="22"/>
          <w:szCs w:val="22"/>
          <w:lang w:val="pt-BR"/>
        </w:rPr>
        <w:t xml:space="preserve">Seligmann–Silva (2003a) nos assevera que Literatura de testemunho nos últimos anos tem feito com que muitos teóricos revejam a relação entre a literatura e a “realidade”. O teórico explica que o “real”,  testemunha-se , via de regra, algo de excepcional e que exige um relato. Mas o conceito se elastece e entendemos que o testemunha não é só aquele que viveu e presenciou o martírio, mas todos o podem ser. E o real é de todo uma cena ou acontecimento que provoca traumas nos indivíduos. Nas palavras do teórico “Pensar sobre a literatura de testemunho implica repensar a nossa visão da História – do fato histórico”. É pensar como algo que venha a ser o produto que vem depois do caos instalado. Ou seja, como afirma Georges Pirec (1995) “o indizível não está escondido na escrita, é aquilo que muito antes a desencadeou”. A questão problemática, especificamente, a ditadura é o motivo da escrita. </w:t>
      </w:r>
    </w:p>
    <w:p w:rsidR="00991A8B" w:rsidRPr="00EE3B08" w:rsidRDefault="00991A8B" w:rsidP="00991A8B">
      <w:pPr>
        <w:tabs>
          <w:tab w:val="left" w:pos="851"/>
        </w:tabs>
        <w:spacing w:line="360" w:lineRule="auto"/>
        <w:jc w:val="both"/>
        <w:rPr>
          <w:sz w:val="22"/>
          <w:szCs w:val="22"/>
          <w:lang w:val="pt-BR"/>
        </w:rPr>
      </w:pPr>
      <w:r w:rsidRPr="00EE3B08">
        <w:rPr>
          <w:sz w:val="22"/>
          <w:szCs w:val="22"/>
          <w:lang w:val="pt-BR"/>
        </w:rPr>
        <w:t xml:space="preserve"> A literatura de testemunho e exílio vem sendo analisada com o objetivo de registrar e investigar acontecimentos extremos: “qualquer fato histórico mais intenso permite – e exige! – o registro testemunhal tanto no sentido jurídico como também no sentido de ‘sobrevivente’” (SELIGMANN SILVA, 2003a, p.9). Conforme Fux (2013, p.13), os escritos e a literatura dos sobreviventes são permeados por diversas características presentes no testemunho primário: literalização, fragmentação, busca pelo ‘real’, historicidade e ficção. Já o discurso secundário  alude aos filhos dos sobreviventes que nasceram depois da guerra, mas que foram fortemente assinalados por esse acontecimento devido à sua criação, possui ainda outras características: dificuldade de entendimento e relação com o sobrevivente, experimentação do silêncio em relação ao passado e carência afetiva.</w:t>
      </w:r>
    </w:p>
    <w:p w:rsidR="00991A8B" w:rsidRPr="00EF649D" w:rsidRDefault="00991A8B" w:rsidP="00227E9F">
      <w:pPr>
        <w:tabs>
          <w:tab w:val="left" w:pos="851"/>
        </w:tabs>
        <w:spacing w:line="360" w:lineRule="auto"/>
        <w:jc w:val="both"/>
        <w:rPr>
          <w:b/>
          <w:i/>
          <w:color w:val="FF0000"/>
          <w:sz w:val="22"/>
          <w:szCs w:val="22"/>
          <w:lang w:val="pt-BR"/>
        </w:rPr>
      </w:pPr>
      <w:r w:rsidRPr="00EE3B08">
        <w:rPr>
          <w:sz w:val="22"/>
          <w:szCs w:val="22"/>
          <w:lang w:val="pt-BR"/>
        </w:rPr>
        <w:t xml:space="preserve"> Ferreira e Allende enquadram-se de maneira similar nessa modalidade secundária por trazer em seus escritos os relatos da ditadura que ficaram armazenadas em suas memórias. De acordo com Seligmann-Silva (2000b, p.88) o testemunho parece ser composto por pequenas partes de </w:t>
      </w:r>
      <w:r w:rsidRPr="00EE3B08">
        <w:rPr>
          <w:sz w:val="22"/>
          <w:szCs w:val="22"/>
          <w:lang w:val="pt-BR"/>
        </w:rPr>
        <w:lastRenderedPageBreak/>
        <w:t xml:space="preserve">memória que foram oprimidas pelas ocorrências que não tinham se assentado como compreensão ou lembrança, atos que não podem ser construídos como saber nem assimilados à plena cognição. Suleimen afirma </w:t>
      </w:r>
      <w:r w:rsidR="00A5275E" w:rsidRPr="00EE3B08">
        <w:rPr>
          <w:sz w:val="22"/>
          <w:szCs w:val="22"/>
          <w:lang w:val="pt-BR"/>
        </w:rPr>
        <w:t>que:</w:t>
      </w:r>
    </w:p>
    <w:p w:rsidR="00991A8B" w:rsidRPr="005079A9" w:rsidRDefault="00991A8B" w:rsidP="0071627D">
      <w:pPr>
        <w:pStyle w:val="31Subttulo1"/>
        <w:numPr>
          <w:ilvl w:val="0"/>
          <w:numId w:val="0"/>
        </w:numPr>
        <w:spacing w:before="0" w:after="0" w:line="240" w:lineRule="auto"/>
        <w:ind w:left="851"/>
        <w:jc w:val="both"/>
        <w:rPr>
          <w:rFonts w:cs="Arial"/>
          <w:b w:val="0"/>
          <w:i w:val="0"/>
          <w:color w:val="auto"/>
          <w:sz w:val="18"/>
          <w:szCs w:val="18"/>
        </w:rPr>
      </w:pPr>
      <w:r w:rsidRPr="005079A9">
        <w:rPr>
          <w:rFonts w:cs="Arial"/>
          <w:b w:val="0"/>
          <w:i w:val="0"/>
          <w:color w:val="auto"/>
          <w:sz w:val="20"/>
          <w:szCs w:val="20"/>
        </w:rPr>
        <w:t xml:space="preserve">O testemunho é sempre necessariamente individual; mas se se refere a um trauma histórico coletivo, será também, necessariamente, mais do que a experiência de uma única pessoa. </w:t>
      </w:r>
      <w:r w:rsidRPr="005079A9">
        <w:rPr>
          <w:rFonts w:cs="Arial"/>
          <w:b w:val="0"/>
          <w:i w:val="0"/>
          <w:color w:val="auto"/>
          <w:sz w:val="18"/>
          <w:szCs w:val="18"/>
        </w:rPr>
        <w:t>Enquanto ela representa (no sentido de representar, tornar visível) a perspectiva única daquele que diz “eu”, o testemunho em tal caso também representa no sentido de ser exemplar, de “representar”. A única testemunha, mesmo contando suas próprias experiências, representa todos aqueles que estavam em uma posição similar no mesmo tempo e lugar (SULEIMAN, 2006, p.134.Tradução nossa).</w:t>
      </w:r>
    </w:p>
    <w:p w:rsidR="00991A8B" w:rsidRPr="005079A9" w:rsidRDefault="00991A8B" w:rsidP="00991A8B">
      <w:pPr>
        <w:pStyle w:val="31Subttulo1"/>
        <w:numPr>
          <w:ilvl w:val="0"/>
          <w:numId w:val="0"/>
        </w:numPr>
        <w:tabs>
          <w:tab w:val="left" w:pos="0"/>
        </w:tabs>
        <w:spacing w:before="0" w:after="0" w:line="360" w:lineRule="auto"/>
        <w:jc w:val="both"/>
        <w:rPr>
          <w:rFonts w:ascii="Times New Roman" w:hAnsi="Times New Roman"/>
          <w:b w:val="0"/>
          <w:i w:val="0"/>
          <w:color w:val="FF0000"/>
          <w:sz w:val="22"/>
          <w:szCs w:val="22"/>
        </w:rPr>
      </w:pPr>
    </w:p>
    <w:p w:rsidR="00991A8B" w:rsidRPr="005079A9" w:rsidRDefault="00991A8B" w:rsidP="007E33C7">
      <w:pPr>
        <w:tabs>
          <w:tab w:val="left" w:pos="0"/>
        </w:tabs>
        <w:spacing w:line="360" w:lineRule="auto"/>
        <w:jc w:val="both"/>
        <w:rPr>
          <w:b/>
          <w:i/>
          <w:color w:val="FF0000"/>
          <w:sz w:val="22"/>
          <w:szCs w:val="22"/>
          <w:lang w:val="pt-BR"/>
        </w:rPr>
      </w:pPr>
      <w:r w:rsidRPr="005079A9">
        <w:rPr>
          <w:color w:val="000000"/>
          <w:sz w:val="22"/>
          <w:szCs w:val="22"/>
          <w:lang w:val="pt-BR"/>
        </w:rPr>
        <w:t xml:space="preserve"> A descrição acima inclui a narrativa tanto  de Ferreira quanto  de Alliende pelo fato das duas escritoras  terem testemunhado a ditadura ;  a primeira experenciou o evento da ditadura na Argentina, em Buenos Aires, a partir de sua escrita.  Ferreira cria   </w:t>
      </w:r>
      <w:r w:rsidRPr="005079A9">
        <w:rPr>
          <w:i/>
          <w:color w:val="000000"/>
          <w:sz w:val="22"/>
          <w:szCs w:val="22"/>
          <w:lang w:val="pt-BR"/>
        </w:rPr>
        <w:t xml:space="preserve">Voltar a Palermo </w:t>
      </w:r>
      <w:r w:rsidRPr="005079A9">
        <w:rPr>
          <w:color w:val="000000"/>
          <w:sz w:val="22"/>
          <w:szCs w:val="22"/>
          <w:lang w:val="pt-BR"/>
        </w:rPr>
        <w:t>(2002),  abordando o caso de amor entre Maria e Nino e a  história da ditadura militar na Argentina. A busca de um amor que não foi compreendido no passado alimenta a volta da professora Maria para Buenos Aires, vinte anos depois. O caminho que deve percorrer para encontrar  Nino nos faz recobrar os amargos tempos das ditaduras militares sul- americanas. A obra repassa a angústia da personagem Maria por não ter engajado na luta desse evento ou a culpa por ter fugido dela.</w:t>
      </w:r>
      <w:r>
        <w:rPr>
          <w:color w:val="000000"/>
          <w:sz w:val="22"/>
          <w:szCs w:val="22"/>
          <w:lang w:val="pt-BR"/>
        </w:rPr>
        <w:t xml:space="preserve">  “[...]</w:t>
      </w:r>
      <w:r w:rsidRPr="005079A9">
        <w:rPr>
          <w:color w:val="000000"/>
          <w:sz w:val="22"/>
          <w:szCs w:val="22"/>
          <w:lang w:val="pt-BR"/>
        </w:rPr>
        <w:t xml:space="preserve"> De volta a Buenos Aires, tantos anos depois eu redescobrira a verdade de meu poeta, Buenos Aires se inventava  dos meus sonhos e eu era muito menos uma paisagem que um produto de imaginação, e era  muito menos um rigoroso traçado de ruas num mapa  e muito mais [...]</w:t>
      </w:r>
      <w:r>
        <w:rPr>
          <w:color w:val="000000"/>
          <w:sz w:val="22"/>
          <w:szCs w:val="22"/>
          <w:lang w:val="pt-BR"/>
        </w:rPr>
        <w:t>”</w:t>
      </w:r>
      <w:r w:rsidRPr="005079A9">
        <w:rPr>
          <w:color w:val="000000"/>
          <w:sz w:val="22"/>
          <w:szCs w:val="22"/>
          <w:lang w:val="pt-BR"/>
        </w:rPr>
        <w:t>(FERREIRA,2002,p.14).</w:t>
      </w:r>
    </w:p>
    <w:p w:rsidR="00991A8B" w:rsidRPr="005079A9" w:rsidRDefault="00991A8B" w:rsidP="00991A8B">
      <w:pPr>
        <w:tabs>
          <w:tab w:val="left" w:pos="0"/>
        </w:tabs>
        <w:spacing w:line="360" w:lineRule="auto"/>
        <w:jc w:val="both"/>
        <w:rPr>
          <w:sz w:val="22"/>
          <w:szCs w:val="22"/>
          <w:lang w:val="pt-BR"/>
        </w:rPr>
      </w:pPr>
      <w:r w:rsidRPr="005079A9">
        <w:rPr>
          <w:sz w:val="22"/>
          <w:szCs w:val="22"/>
          <w:lang w:val="pt-BR"/>
        </w:rPr>
        <w:t xml:space="preserve">Segundo a autora Ferreira (2002), </w:t>
      </w:r>
      <w:r w:rsidRPr="005079A9">
        <w:rPr>
          <w:i/>
          <w:sz w:val="22"/>
          <w:szCs w:val="22"/>
          <w:lang w:val="pt-BR"/>
        </w:rPr>
        <w:t>Voltar a Palermo</w:t>
      </w:r>
      <w:r w:rsidRPr="005079A9">
        <w:rPr>
          <w:sz w:val="22"/>
          <w:szCs w:val="22"/>
          <w:lang w:val="pt-BR"/>
        </w:rPr>
        <w:t xml:space="preserve"> (2002) teve inspiração no filho de um taxista que ela conheceu, e também na sua pessoa, o que confere a personagem Maria um pouco de sua experiência como professora e mulher mais vivida. A referida personagem, de acordo com Maciel (2011) representa figura feminina em uma época de opressão, e nesse contexto, recordamos o papel desempenhado por mulheres como argentinas e brasileiras, que se destacaram em posições de combate, comumente, atribuídas aos homens. </w:t>
      </w:r>
    </w:p>
    <w:p w:rsidR="00991A8B" w:rsidRDefault="00991A8B" w:rsidP="007E33C7">
      <w:pPr>
        <w:tabs>
          <w:tab w:val="left" w:pos="0"/>
        </w:tabs>
        <w:spacing w:line="360" w:lineRule="auto"/>
        <w:jc w:val="both"/>
        <w:rPr>
          <w:sz w:val="22"/>
          <w:szCs w:val="22"/>
          <w:lang w:val="pt-BR"/>
        </w:rPr>
      </w:pPr>
      <w:r w:rsidRPr="005079A9">
        <w:rPr>
          <w:sz w:val="22"/>
          <w:szCs w:val="22"/>
          <w:lang w:val="pt-BR"/>
        </w:rPr>
        <w:t>Da parte da Argentina citamos mulheres que se localizavam na linha de frente como, Alfonsina Storni</w:t>
      </w:r>
      <w:r w:rsidRPr="005079A9">
        <w:rPr>
          <w:rStyle w:val="Refdenotaalpie"/>
          <w:sz w:val="22"/>
          <w:szCs w:val="22"/>
        </w:rPr>
        <w:footnoteReference w:id="1"/>
      </w:r>
      <w:r w:rsidRPr="005079A9">
        <w:rPr>
          <w:sz w:val="22"/>
          <w:szCs w:val="22"/>
          <w:lang w:val="pt-BR"/>
        </w:rPr>
        <w:t xml:space="preserve"> e a guerrileira Juana Azurduy; da parte do Brasil, Clara Camarão, índia potiguar que comandou um exercito de mulheres na luta contra a expulsão dos holandeses em Porto Culvo e Dona Brites de Albuquerque, capitã que por anos governou a Capitania de Pernambuco, na ausência do marido. Essas informações podem ser constatadas a seguir:</w:t>
      </w:r>
    </w:p>
    <w:p w:rsidR="00991A8B" w:rsidRDefault="00991A8B" w:rsidP="00991A8B">
      <w:pPr>
        <w:tabs>
          <w:tab w:val="left" w:pos="0"/>
        </w:tabs>
        <w:spacing w:line="360" w:lineRule="auto"/>
        <w:ind w:firstLine="142"/>
        <w:jc w:val="both"/>
        <w:rPr>
          <w:sz w:val="22"/>
          <w:szCs w:val="22"/>
          <w:lang w:val="pt-BR"/>
        </w:rPr>
      </w:pPr>
    </w:p>
    <w:p w:rsidR="00991A8B" w:rsidRPr="005079A9" w:rsidRDefault="00991A8B" w:rsidP="007E33C7">
      <w:pPr>
        <w:ind w:left="851"/>
        <w:jc w:val="both"/>
        <w:rPr>
          <w:rFonts w:ascii="Arial" w:hAnsi="Arial" w:cs="Arial"/>
          <w:sz w:val="18"/>
          <w:szCs w:val="18"/>
          <w:lang w:val="pt-BR"/>
        </w:rPr>
      </w:pPr>
      <w:r w:rsidRPr="005079A9">
        <w:rPr>
          <w:rFonts w:ascii="Arial" w:hAnsi="Arial" w:cs="Arial"/>
          <w:sz w:val="18"/>
          <w:szCs w:val="18"/>
          <w:lang w:val="pt-BR"/>
        </w:rPr>
        <w:t xml:space="preserve">A história da Argentina me chegara pouco pois pouco a pouco.E primeiro pelas mulheres que se celebravam em cantos, Alfonsina, Juana Azurduy, a que se batera e Jujuy como um valente, e que nenhum capitão igualava, e tantas outras;e em Borges e eu conhecera aquela que vira rolar um dia,pela janela aberta, a cabeça do marido que se fora a lutar,e que resistiria ao pranto </w:t>
      </w:r>
      <w:r w:rsidRPr="005079A9">
        <w:rPr>
          <w:rFonts w:ascii="Arial" w:hAnsi="Arial" w:cs="Arial"/>
          <w:sz w:val="18"/>
          <w:szCs w:val="18"/>
          <w:lang w:val="pt-BR"/>
        </w:rPr>
        <w:lastRenderedPageBreak/>
        <w:t>como uma verdadeira patriota argentina. Eu recriava em imaginação aquelas mulheres fortes, que haviam contribuído para formar a nação, e as comprara a outro tanto de mulheres fortes que havíamos tido nós ,do outro lado do Rio de la Plata, e bem longe dele. E havia as que igualmente tinham batalhado ao lado dos homens, como Clara Camarão, ou que haviam sido governadoras, como a capitã Dona Brites.(FERREIRA,2002,p.18).</w:t>
      </w:r>
    </w:p>
    <w:p w:rsidR="00991A8B" w:rsidRPr="005079A9" w:rsidRDefault="00991A8B" w:rsidP="00991A8B">
      <w:pPr>
        <w:tabs>
          <w:tab w:val="left" w:pos="0"/>
        </w:tabs>
        <w:spacing w:line="360" w:lineRule="auto"/>
        <w:ind w:firstLine="142"/>
        <w:jc w:val="both"/>
        <w:rPr>
          <w:rFonts w:ascii="Arial" w:hAnsi="Arial" w:cs="Arial"/>
          <w:sz w:val="18"/>
          <w:szCs w:val="18"/>
          <w:lang w:val="pt-BR"/>
        </w:rPr>
      </w:pPr>
    </w:p>
    <w:p w:rsidR="00991A8B" w:rsidRPr="005079A9" w:rsidRDefault="00991A8B" w:rsidP="00991A8B">
      <w:pPr>
        <w:tabs>
          <w:tab w:val="left" w:pos="0"/>
        </w:tabs>
        <w:spacing w:line="360" w:lineRule="auto"/>
        <w:ind w:firstLine="142"/>
        <w:jc w:val="both"/>
        <w:rPr>
          <w:rFonts w:ascii="Arial" w:hAnsi="Arial" w:cs="Arial"/>
          <w:sz w:val="18"/>
          <w:szCs w:val="18"/>
          <w:lang w:val="pt-BR"/>
        </w:rPr>
      </w:pPr>
    </w:p>
    <w:p w:rsidR="00991A8B" w:rsidRDefault="00991A8B" w:rsidP="00991A8B">
      <w:pPr>
        <w:tabs>
          <w:tab w:val="left" w:pos="0"/>
        </w:tabs>
        <w:spacing w:line="360" w:lineRule="auto"/>
        <w:jc w:val="both"/>
        <w:rPr>
          <w:sz w:val="22"/>
          <w:szCs w:val="22"/>
          <w:lang w:val="pt-BR"/>
        </w:rPr>
      </w:pPr>
      <w:r w:rsidRPr="00743CA2">
        <w:rPr>
          <w:color w:val="000000"/>
          <w:sz w:val="22"/>
          <w:szCs w:val="22"/>
          <w:lang w:val="pt-BR"/>
        </w:rPr>
        <w:t xml:space="preserve">Um aspecto significativo para a literatura de testemunho é </w:t>
      </w:r>
      <w:r w:rsidRPr="00743CA2">
        <w:rPr>
          <w:sz w:val="22"/>
          <w:szCs w:val="22"/>
          <w:lang w:val="pt-BR"/>
        </w:rPr>
        <w:t>o caráter autobiográfico, característica primordial que evidencia que a história narrada é fictícia, entretanto baseada em uma história real, em que autor, personagem e narrador são identificados como um único ser.  A narrativa em primeira pessoa da obra está abalizada na voz oculta do oprimido:</w:t>
      </w:r>
    </w:p>
    <w:p w:rsidR="00991A8B" w:rsidRPr="00743CA2" w:rsidRDefault="00991A8B" w:rsidP="00991A8B">
      <w:pPr>
        <w:tabs>
          <w:tab w:val="left" w:pos="0"/>
        </w:tabs>
        <w:spacing w:line="360" w:lineRule="auto"/>
        <w:jc w:val="both"/>
        <w:rPr>
          <w:sz w:val="22"/>
          <w:szCs w:val="22"/>
          <w:lang w:val="pt-BR"/>
        </w:rPr>
      </w:pPr>
    </w:p>
    <w:p w:rsidR="00991A8B" w:rsidRDefault="00991A8B" w:rsidP="00991A8B">
      <w:pPr>
        <w:ind w:left="851"/>
        <w:jc w:val="both"/>
        <w:rPr>
          <w:rFonts w:ascii="Arial" w:hAnsi="Arial" w:cs="Arial"/>
          <w:sz w:val="18"/>
          <w:szCs w:val="18"/>
          <w:lang w:val="pt-BR"/>
        </w:rPr>
      </w:pPr>
      <w:r w:rsidRPr="00743CA2">
        <w:rPr>
          <w:rFonts w:ascii="Arial" w:hAnsi="Arial" w:cs="Arial"/>
          <w:sz w:val="18"/>
          <w:szCs w:val="18"/>
          <w:lang w:val="pt-BR"/>
        </w:rPr>
        <w:t xml:space="preserve">Se o testemunho apresenta a história de uma </w:t>
      </w:r>
      <w:r w:rsidRPr="00743CA2">
        <w:rPr>
          <w:rFonts w:ascii="Arial" w:hAnsi="Arial" w:cs="Arial"/>
          <w:i/>
          <w:iCs/>
          <w:sz w:val="18"/>
          <w:szCs w:val="18"/>
          <w:lang w:val="pt-BR"/>
        </w:rPr>
        <w:t>perda</w:t>
      </w:r>
      <w:r w:rsidRPr="00743CA2">
        <w:rPr>
          <w:rFonts w:ascii="Arial" w:hAnsi="Arial" w:cs="Arial"/>
          <w:sz w:val="18"/>
          <w:szCs w:val="18"/>
          <w:lang w:val="pt-BR"/>
        </w:rPr>
        <w:t>, o essencial não pode ser apresentado de modo direto; o testemunho é a apresentação de um desaparecimento e a sua leitura, a busca de traços que indiquem tal “falta originária”. Não há presença originária a ser re-presentada, mas falta, ausência, perda (SELIGMANN-SILVA, 2003, p. 20-21).</w:t>
      </w:r>
    </w:p>
    <w:p w:rsidR="00991A8B" w:rsidRDefault="00991A8B" w:rsidP="00991A8B">
      <w:pPr>
        <w:ind w:left="851"/>
        <w:jc w:val="both"/>
        <w:rPr>
          <w:rFonts w:ascii="Arial" w:hAnsi="Arial" w:cs="Arial"/>
          <w:sz w:val="18"/>
          <w:szCs w:val="18"/>
          <w:lang w:val="pt-BR"/>
        </w:rPr>
      </w:pPr>
    </w:p>
    <w:p w:rsidR="00991A8B" w:rsidRDefault="00991A8B" w:rsidP="00991A8B">
      <w:pPr>
        <w:ind w:left="851"/>
        <w:jc w:val="both"/>
        <w:rPr>
          <w:rFonts w:ascii="Arial" w:hAnsi="Arial" w:cs="Arial"/>
          <w:sz w:val="18"/>
          <w:szCs w:val="18"/>
          <w:lang w:val="pt-BR"/>
        </w:rPr>
      </w:pPr>
    </w:p>
    <w:p w:rsidR="00991A8B" w:rsidRPr="007E33C7" w:rsidRDefault="00991A8B" w:rsidP="00991A8B">
      <w:pPr>
        <w:tabs>
          <w:tab w:val="left" w:pos="0"/>
        </w:tabs>
        <w:spacing w:line="360" w:lineRule="auto"/>
        <w:jc w:val="both"/>
        <w:rPr>
          <w:sz w:val="22"/>
          <w:szCs w:val="22"/>
          <w:lang w:val="pt-BR"/>
        </w:rPr>
      </w:pPr>
      <w:r w:rsidRPr="007E33C7">
        <w:rPr>
          <w:sz w:val="22"/>
          <w:szCs w:val="22"/>
          <w:lang w:val="pt-BR"/>
        </w:rPr>
        <w:t>Na narrativa em estudo, Maria testemunha a desaparecimento de Nino; sua perda é testemunhada pela personagem Maria que o procura de forma incansável por noticias de seu amado. Essa  ausência  é a perda de uma personagem/real que desapareceu durante a ditadura[...] a qual pode representar outros mais de 300 brasileiros desparecidos durante os anos de  opressão militar. “E o testemunho justamente quer resgatar o que existe de mais terrível no “real‟ para apresentá-lo. Mesmo que para isso ele precise da literatura” (SELLIGMANN-SILVA, 2003, p. 375).</w:t>
      </w:r>
    </w:p>
    <w:p w:rsidR="00991A8B" w:rsidRPr="007E33C7" w:rsidRDefault="00991A8B" w:rsidP="00991A8B">
      <w:pPr>
        <w:tabs>
          <w:tab w:val="left" w:pos="0"/>
        </w:tabs>
        <w:spacing w:line="360" w:lineRule="auto"/>
        <w:jc w:val="both"/>
        <w:rPr>
          <w:sz w:val="22"/>
          <w:szCs w:val="22"/>
          <w:lang w:val="pt-BR"/>
        </w:rPr>
      </w:pPr>
      <w:r w:rsidRPr="007E33C7">
        <w:rPr>
          <w:sz w:val="22"/>
          <w:szCs w:val="22"/>
          <w:lang w:val="pt-BR"/>
        </w:rPr>
        <w:t xml:space="preserve">Feito essa abordagem sobre a narrativa de Ferreira, atentamo-nos para a obra </w:t>
      </w:r>
      <w:r w:rsidRPr="007E33C7">
        <w:rPr>
          <w:i/>
          <w:sz w:val="22"/>
          <w:szCs w:val="22"/>
          <w:lang w:val="pt-BR"/>
        </w:rPr>
        <w:t>Meu País Inventado</w:t>
      </w:r>
      <w:r w:rsidRPr="007E33C7">
        <w:rPr>
          <w:sz w:val="22"/>
          <w:szCs w:val="22"/>
          <w:lang w:val="pt-BR"/>
        </w:rPr>
        <w:t xml:space="preserve"> (2003 de Allende).</w:t>
      </w:r>
    </w:p>
    <w:p w:rsidR="00991A8B" w:rsidRPr="007E33C7" w:rsidRDefault="00991A8B" w:rsidP="00991A8B">
      <w:pPr>
        <w:tabs>
          <w:tab w:val="left" w:pos="0"/>
        </w:tabs>
        <w:spacing w:line="360" w:lineRule="auto"/>
        <w:jc w:val="both"/>
        <w:rPr>
          <w:sz w:val="22"/>
          <w:szCs w:val="22"/>
          <w:lang w:val="pt-BR"/>
        </w:rPr>
      </w:pPr>
      <w:r w:rsidRPr="007E33C7">
        <w:rPr>
          <w:sz w:val="22"/>
          <w:szCs w:val="22"/>
          <w:lang w:val="pt-BR"/>
        </w:rPr>
        <w:t xml:space="preserve">Não muito diferente, a escritora chilena narra sua obra  em primeira pessoa, portanto de natureza autobiográfica, uma vez que  relata o que foi viver num pais longe de sua pátria por conta da ditadura militar. </w:t>
      </w:r>
    </w:p>
    <w:p w:rsidR="00991A8B" w:rsidRPr="007E33C7" w:rsidRDefault="00991A8B" w:rsidP="00991A8B">
      <w:pPr>
        <w:tabs>
          <w:tab w:val="left" w:pos="0"/>
        </w:tabs>
        <w:spacing w:line="360" w:lineRule="auto"/>
        <w:jc w:val="both"/>
        <w:rPr>
          <w:color w:val="462907"/>
          <w:sz w:val="22"/>
          <w:szCs w:val="22"/>
          <w:shd w:val="clear" w:color="auto" w:fill="FFFFFF"/>
          <w:lang w:val="pt-BR"/>
        </w:rPr>
      </w:pPr>
      <w:r w:rsidRPr="007E33C7">
        <w:rPr>
          <w:sz w:val="22"/>
          <w:szCs w:val="22"/>
          <w:shd w:val="clear" w:color="auto" w:fill="FFFFFF"/>
          <w:lang w:val="pt-BR"/>
        </w:rPr>
        <w:t>A ditadura militar chilena teve inicio a partir do golpe militar concretizado no país, no dia 11 de setembro de 1973, contra o então presidente Salvador Allende. O novo regime, comandado pelo general Augusto Pinochet até 1990, caracterizou-se pela intensa repressão e censura e por causar a morte de mais</w:t>
      </w:r>
      <w:r w:rsidRPr="007E33C7">
        <w:rPr>
          <w:color w:val="462907"/>
          <w:sz w:val="22"/>
          <w:szCs w:val="22"/>
          <w:shd w:val="clear" w:color="auto" w:fill="FFFFFF"/>
          <w:lang w:val="pt-BR"/>
        </w:rPr>
        <w:t xml:space="preserve"> de três mil pessoas, a tortura de aproximadamente 40 mil e o exílio de milhares de cidadãos chilenos.</w:t>
      </w:r>
    </w:p>
    <w:p w:rsidR="00991A8B" w:rsidRDefault="00991A8B" w:rsidP="00227E9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A5275E">
        <w:rPr>
          <w:i/>
          <w:color w:val="462907"/>
          <w:sz w:val="22"/>
          <w:szCs w:val="22"/>
          <w:shd w:val="clear" w:color="auto" w:fill="FFFFFF"/>
          <w:lang w:val="pt-BR"/>
        </w:rPr>
        <w:t>Meu Pais Inventado</w:t>
      </w:r>
      <w:r w:rsidRPr="007E33C7">
        <w:rPr>
          <w:color w:val="462907"/>
          <w:sz w:val="22"/>
          <w:szCs w:val="22"/>
          <w:shd w:val="clear" w:color="auto" w:fill="FFFFFF"/>
          <w:lang w:val="pt-BR"/>
        </w:rPr>
        <w:t xml:space="preserve"> é resultado</w:t>
      </w:r>
      <w:r w:rsidRPr="007E33C7">
        <w:rPr>
          <w:sz w:val="22"/>
          <w:szCs w:val="22"/>
          <w:lang w:val="pt-BR"/>
        </w:rPr>
        <w:t xml:space="preserve"> da experiência do um passado conturbado, vivido por Alliend, tendo que se exilar na Venezuela  por muitos anos.</w:t>
      </w:r>
    </w:p>
    <w:p w:rsidR="00991A8B" w:rsidRDefault="00991A8B" w:rsidP="00991A8B">
      <w:pPr>
        <w:ind w:left="851"/>
        <w:jc w:val="both"/>
        <w:rPr>
          <w:rFonts w:ascii="Arial" w:hAnsi="Arial" w:cs="Arial"/>
          <w:sz w:val="18"/>
          <w:szCs w:val="18"/>
          <w:lang w:val="pt-BR"/>
        </w:rPr>
      </w:pPr>
    </w:p>
    <w:p w:rsidR="00991A8B" w:rsidRPr="00743CA2" w:rsidRDefault="00991A8B" w:rsidP="001C3540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18"/>
          <w:szCs w:val="18"/>
          <w:lang w:val="pt-BR"/>
        </w:rPr>
      </w:pPr>
      <w:r w:rsidRPr="00743CA2">
        <w:rPr>
          <w:rFonts w:ascii="Arial" w:hAnsi="Arial" w:cs="Arial"/>
          <w:sz w:val="18"/>
          <w:szCs w:val="18"/>
          <w:lang w:val="pt-BR"/>
        </w:rPr>
        <w:t>Fora do Chile esperei durante anos  que se reinstalasse a democracia para regressar, mas quando isso aconteceu não o fiz, porque estava casada com um norte-americano, a viver perto de São Francisco. Não voltei a residir no Chile, onde na verdade passei menos de metade da minha vida, embora o visite com frequência; mas para responder à pergunta daquele desconhecido sobre a nostalgia, devo limitar-me quase exclusivamente aos anos que lá vivi. E para o fazer devo ter como referência a minha família, porque pátria e tribo confundem-se na minha cabeça.( ALLIEND,2003,p.10).</w:t>
      </w:r>
    </w:p>
    <w:p w:rsidR="00991A8B" w:rsidRDefault="00991A8B" w:rsidP="00991A8B">
      <w:pPr>
        <w:ind w:left="851"/>
        <w:jc w:val="both"/>
        <w:rPr>
          <w:rFonts w:ascii="Arial" w:hAnsi="Arial" w:cs="Arial"/>
          <w:sz w:val="18"/>
          <w:szCs w:val="18"/>
          <w:lang w:val="pt-BR"/>
        </w:rPr>
      </w:pPr>
    </w:p>
    <w:p w:rsidR="00991A8B" w:rsidRPr="00743CA2" w:rsidRDefault="00991A8B" w:rsidP="00991A8B">
      <w:pPr>
        <w:ind w:left="851"/>
        <w:jc w:val="both"/>
        <w:rPr>
          <w:rFonts w:ascii="Arial" w:hAnsi="Arial" w:cs="Arial"/>
          <w:sz w:val="18"/>
          <w:szCs w:val="18"/>
          <w:lang w:val="pt-BR"/>
        </w:rPr>
      </w:pPr>
    </w:p>
    <w:p w:rsidR="00991A8B" w:rsidRPr="007E33C7" w:rsidRDefault="00991A8B" w:rsidP="00991A8B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t-BR"/>
        </w:rPr>
      </w:pPr>
      <w:r w:rsidRPr="007E33C7">
        <w:rPr>
          <w:sz w:val="22"/>
          <w:szCs w:val="22"/>
          <w:lang w:val="pt-BR"/>
        </w:rPr>
        <w:t xml:space="preserve">Sabemos que as agitações ocasionadas pela Ditadura Militar </w:t>
      </w:r>
      <w:r w:rsidR="00CD495A">
        <w:rPr>
          <w:sz w:val="22"/>
          <w:szCs w:val="22"/>
          <w:lang w:val="pt-BR"/>
        </w:rPr>
        <w:t>Chilena</w:t>
      </w:r>
      <w:r w:rsidRPr="007E33C7">
        <w:rPr>
          <w:sz w:val="22"/>
          <w:szCs w:val="22"/>
          <w:lang w:val="pt-BR"/>
        </w:rPr>
        <w:t xml:space="preserve"> geraram na população diversos traumas, principalmente naqueles que de alguma forma lutaram no Regime ou infelizmente foram perseguidos por outras razões. Na  esfera política os militares exigiram à sociedade a deposição de vários políticos democraticamente eleitos e tiveram seus mandatos cassados, várias demissões de funcionários públicos, além da perseguição aos partidos políticos, os quais foram desfeitos e colocados na ilegalidade. Na esfera pessoal diversos indivíduos foram para a clandestinidade, muitas pessoas foram presas, torturadas, famílias perseguidas e separadas pela morte de algum ente querido, muitas e muitos levados para o exílio.</w:t>
      </w:r>
    </w:p>
    <w:p w:rsidR="00991A8B" w:rsidRPr="007E33C7" w:rsidRDefault="00991A8B" w:rsidP="00991A8B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t-BR"/>
        </w:rPr>
      </w:pPr>
      <w:r w:rsidRPr="007E33C7">
        <w:rPr>
          <w:sz w:val="22"/>
          <w:szCs w:val="22"/>
          <w:lang w:val="pt-BR"/>
        </w:rPr>
        <w:t>Conforme Callaça</w:t>
      </w:r>
      <w:r w:rsidR="00BF0039">
        <w:rPr>
          <w:sz w:val="22"/>
          <w:szCs w:val="22"/>
          <w:lang w:val="pt-BR"/>
        </w:rPr>
        <w:t xml:space="preserve"> </w:t>
      </w:r>
      <w:r w:rsidRPr="007E33C7">
        <w:rPr>
          <w:sz w:val="22"/>
          <w:szCs w:val="22"/>
          <w:lang w:val="pt-BR"/>
        </w:rPr>
        <w:t xml:space="preserve">(2016,p.52),  o exílio é o estar fora de casa, do seu país. É o ato de se remover forçada ou voluntariamente de seu país de origem. Do latim </w:t>
      </w:r>
      <w:r w:rsidRPr="007E33C7">
        <w:rPr>
          <w:i/>
          <w:iCs/>
          <w:sz w:val="22"/>
          <w:szCs w:val="22"/>
          <w:lang w:val="pt-BR"/>
        </w:rPr>
        <w:t xml:space="preserve">exilium </w:t>
      </w:r>
      <w:r w:rsidRPr="007E33C7">
        <w:rPr>
          <w:sz w:val="22"/>
          <w:szCs w:val="22"/>
          <w:lang w:val="pt-BR"/>
        </w:rPr>
        <w:t>significa desterro, degredo, banimento; exílio é ter que ir residir forçadamente  em outro país (FERREIRA, 2004, p. 853), e envolve a expulsão ou o ato voluntário.O autor Luis Roniger traz várias conceituações sobre o exílio, mas destaca que a mais coesa seria a de um dicionário italiano, que diz o exílio como sendo ―‗[...] uma medida que as autoridades no poder forçam sobre um indivíduo, legal ou arbitrariamente, para distanciá-lo de sua pátria principalmente devido a razões políticas‖. (RONIGER apud BATTAGLIA, 2011, p.36)</w:t>
      </w:r>
    </w:p>
    <w:p w:rsidR="00991A8B" w:rsidRPr="007E33C7" w:rsidRDefault="00991A8B" w:rsidP="00991A8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t-BR"/>
        </w:rPr>
      </w:pPr>
      <w:r w:rsidRPr="007E33C7">
        <w:rPr>
          <w:sz w:val="22"/>
          <w:szCs w:val="22"/>
          <w:lang w:val="pt-BR"/>
        </w:rPr>
        <w:t xml:space="preserve">A partir do exílio, a escrita de Alliende surge pela necessidade de escrever cartas para o seu avô. Em </w:t>
      </w:r>
      <w:r w:rsidRPr="007E33C7">
        <w:rPr>
          <w:i/>
          <w:sz w:val="22"/>
          <w:szCs w:val="22"/>
          <w:lang w:val="pt-BR"/>
        </w:rPr>
        <w:t>Meu País Inventado</w:t>
      </w:r>
      <w:r w:rsidRPr="007E33C7">
        <w:rPr>
          <w:sz w:val="22"/>
          <w:szCs w:val="22"/>
          <w:lang w:val="pt-BR"/>
        </w:rPr>
        <w:t xml:space="preserve"> (2003), a autora vai utilizando artifícios típicos de relatos. Usa artifícios subjetivos presentes na memória que ocorre, de maneira especial, em narrativas do trauma e na história, isso  significa assumir uma posição político-ideológica, pois tais memórias ainda são objeto de disputas, conflitos e lutas.</w:t>
      </w:r>
    </w:p>
    <w:p w:rsidR="00991A8B" w:rsidRPr="00871323" w:rsidRDefault="00991A8B" w:rsidP="0071627D">
      <w:pPr>
        <w:pStyle w:val="31Subttulo1"/>
        <w:numPr>
          <w:ilvl w:val="0"/>
          <w:numId w:val="0"/>
        </w:numPr>
        <w:spacing w:line="240" w:lineRule="auto"/>
        <w:ind w:left="851"/>
        <w:jc w:val="both"/>
        <w:rPr>
          <w:rFonts w:cs="Arial"/>
          <w:b w:val="0"/>
          <w:i w:val="0"/>
          <w:sz w:val="18"/>
          <w:szCs w:val="18"/>
        </w:rPr>
      </w:pPr>
      <w:r>
        <w:rPr>
          <w:rFonts w:cs="Arial"/>
          <w:b w:val="0"/>
          <w:i w:val="0"/>
          <w:sz w:val="18"/>
          <w:szCs w:val="18"/>
        </w:rPr>
        <w:t>V</w:t>
      </w:r>
      <w:r w:rsidRPr="00871323">
        <w:rPr>
          <w:rFonts w:cs="Arial"/>
          <w:b w:val="0"/>
          <w:i w:val="0"/>
          <w:sz w:val="18"/>
          <w:szCs w:val="18"/>
        </w:rPr>
        <w:t>enho do chamado Terceiro Mundo (qual é o segundo?) e tive de arranjar um marido para viver legalmente no primeiro; não tenho a mínima intenção de regressar ao subdesenvolvimento sem uma boa razão. Contudo, e muito a contragosto, deambulei por cinco continentes e ainda por cima coube me ser auto-exilada e imigrante. (ALLIENDE,2003,p.07)</w:t>
      </w:r>
    </w:p>
    <w:p w:rsidR="00991A8B" w:rsidRDefault="00991A8B" w:rsidP="00991A8B">
      <w:pPr>
        <w:pStyle w:val="31Subttulo1"/>
        <w:numPr>
          <w:ilvl w:val="0"/>
          <w:numId w:val="0"/>
        </w:numPr>
        <w:spacing w:before="0" w:after="0" w:line="36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S</w:t>
      </w:r>
      <w:r w:rsidRPr="00E72A0B">
        <w:rPr>
          <w:rFonts w:ascii="Times New Roman" w:hAnsi="Times New Roman"/>
          <w:b w:val="0"/>
          <w:i w:val="0"/>
          <w:sz w:val="22"/>
          <w:szCs w:val="22"/>
        </w:rPr>
        <w:t xml:space="preserve">endo assim, a memória em Alliende é intensa e sua narrativa se constrói com auxílio de elementos subjetivos, configurando o caráter de transformação. “Historicizar a memória é reconhecer que existem mudanças históricas nos sentidos do passado”. CALLAÇA (2016, p.06). Isso se explica porque o passado é na voz de Ferreira (2012, </w:t>
      </w:r>
      <w:r w:rsidR="003011DA" w:rsidRPr="00E72A0B">
        <w:rPr>
          <w:rFonts w:ascii="Times New Roman" w:hAnsi="Times New Roman"/>
          <w:b w:val="0"/>
          <w:i w:val="0"/>
          <w:sz w:val="22"/>
          <w:szCs w:val="22"/>
        </w:rPr>
        <w:t>p.107)</w:t>
      </w:r>
      <w:r w:rsidRPr="00E72A0B">
        <w:rPr>
          <w:rFonts w:ascii="Times New Roman" w:hAnsi="Times New Roman"/>
          <w:b w:val="0"/>
          <w:i w:val="0"/>
          <w:sz w:val="22"/>
          <w:szCs w:val="22"/>
        </w:rPr>
        <w:t xml:space="preserve"> a história do tempo </w:t>
      </w:r>
      <w:r w:rsidR="003011DA" w:rsidRPr="00E72A0B">
        <w:rPr>
          <w:rFonts w:ascii="Times New Roman" w:hAnsi="Times New Roman"/>
          <w:b w:val="0"/>
          <w:i w:val="0"/>
          <w:sz w:val="22"/>
          <w:szCs w:val="22"/>
        </w:rPr>
        <w:t>presente,</w:t>
      </w:r>
      <w:r w:rsidRPr="00E72A0B">
        <w:rPr>
          <w:rFonts w:ascii="Times New Roman" w:hAnsi="Times New Roman"/>
          <w:b w:val="0"/>
          <w:i w:val="0"/>
          <w:sz w:val="22"/>
          <w:szCs w:val="22"/>
        </w:rPr>
        <w:t xml:space="preserve"> é feita de moradas provisórias.</w:t>
      </w:r>
    </w:p>
    <w:p w:rsidR="00991A8B" w:rsidRPr="00E72A0B" w:rsidRDefault="00991A8B" w:rsidP="007E33C7">
      <w:pPr>
        <w:pStyle w:val="31Subttulo1"/>
        <w:numPr>
          <w:ilvl w:val="0"/>
          <w:numId w:val="0"/>
        </w:numPr>
        <w:spacing w:before="0" w:after="0" w:line="36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E72A0B">
        <w:rPr>
          <w:rFonts w:ascii="Times New Roman" w:hAnsi="Times New Roman"/>
          <w:b w:val="0"/>
          <w:i w:val="0"/>
          <w:sz w:val="22"/>
          <w:szCs w:val="22"/>
        </w:rPr>
        <w:t xml:space="preserve"> A escrita de Alliende é marcada pelo trauma, pois essa característica consiste ser a subjetividade latente em Meu Pais Inventado (2003). O trauma é caracterizado por ser uma memória de um passado que não passa. O trauma mostra-se, portanto, como o fato psicanalítico prototípico no que concerne à sua estrutura temporal.” (SILIGMANN-SILVA, 2008 p.69). Podemos adequar o trecho retirado da obra à definição Siligmann-Silva: 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E72A0B">
        <w:rPr>
          <w:rFonts w:ascii="Times New Roman" w:hAnsi="Times New Roman"/>
          <w:b w:val="0"/>
          <w:i w:val="0"/>
          <w:sz w:val="22"/>
          <w:szCs w:val="22"/>
        </w:rPr>
        <w:t xml:space="preserve">“Os testemunhos </w:t>
      </w:r>
      <w:r w:rsidRPr="00E72A0B">
        <w:rPr>
          <w:rFonts w:ascii="Times New Roman" w:hAnsi="Times New Roman"/>
          <w:b w:val="0"/>
          <w:i w:val="0"/>
          <w:sz w:val="22"/>
          <w:szCs w:val="22"/>
        </w:rPr>
        <w:lastRenderedPageBreak/>
        <w:t>traumáticos carregam perplexidade e necessidade da fala. Segundo Silligmann-Silva (2003), e o sobrevivente sente a necessidade de escrever [...]”.</w:t>
      </w:r>
    </w:p>
    <w:p w:rsidR="007E33C7" w:rsidRDefault="00991A8B" w:rsidP="007E33C7">
      <w:pPr>
        <w:pStyle w:val="31Subttulo1"/>
        <w:numPr>
          <w:ilvl w:val="0"/>
          <w:numId w:val="0"/>
        </w:numPr>
        <w:spacing w:before="0" w:after="0" w:line="36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E228E8">
        <w:rPr>
          <w:rFonts w:ascii="Times New Roman" w:hAnsi="Times New Roman"/>
          <w:b w:val="0"/>
          <w:i w:val="0"/>
          <w:sz w:val="22"/>
          <w:szCs w:val="22"/>
        </w:rPr>
        <w:t>Observamos que Alliende nutre em sua escrita à dor provocada pelo trauma do exílio, pois as lacunas se abrem como feridas, em Meu País Inventado (2003). A autora consegue administrar a angústia de ter sido uma sobrevivente em meio a ditadura militar no Chile por ser membro da família de Salvador Alliende derrotado por Pinochet por longos anos. A escritora a em suas linhas nos dá uma visão do presente, mostrando que embora o trauma se perpetue, o indivíduo  pode configurá-lo de modo a viver mais amenos.</w:t>
      </w:r>
    </w:p>
    <w:p w:rsidR="007E33C7" w:rsidRPr="00E228E8" w:rsidRDefault="007E33C7" w:rsidP="007E33C7">
      <w:pPr>
        <w:pStyle w:val="31Subttulo1"/>
        <w:numPr>
          <w:ilvl w:val="0"/>
          <w:numId w:val="0"/>
        </w:numPr>
        <w:spacing w:before="0" w:after="0" w:line="36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991A8B" w:rsidRDefault="00991A8B" w:rsidP="007E33C7">
      <w:pPr>
        <w:pStyle w:val="31Subttulo1"/>
        <w:spacing w:before="0" w:after="0"/>
      </w:pPr>
      <w:r w:rsidRPr="00E34873">
        <w:t>C</w:t>
      </w:r>
      <w:r w:rsidR="00503430">
        <w:t>onsiderações Finais</w:t>
      </w:r>
    </w:p>
    <w:p w:rsidR="007E33C7" w:rsidRPr="00E34873" w:rsidRDefault="007E33C7" w:rsidP="003011DA">
      <w:pPr>
        <w:pStyle w:val="31Subttulo1"/>
        <w:numPr>
          <w:ilvl w:val="0"/>
          <w:numId w:val="0"/>
        </w:numPr>
        <w:spacing w:before="0" w:after="0" w:line="360" w:lineRule="auto"/>
        <w:ind w:left="360" w:hanging="360"/>
      </w:pPr>
    </w:p>
    <w:p w:rsidR="007E33C7" w:rsidRDefault="00991A8B" w:rsidP="003011DA">
      <w:pPr>
        <w:pStyle w:val="31Subttulo1"/>
        <w:numPr>
          <w:ilvl w:val="0"/>
          <w:numId w:val="0"/>
        </w:numPr>
        <w:spacing w:before="0" w:after="0" w:line="36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E228E8">
        <w:rPr>
          <w:rFonts w:ascii="Times New Roman" w:hAnsi="Times New Roman"/>
          <w:b w:val="0"/>
          <w:i w:val="0"/>
          <w:sz w:val="22"/>
          <w:szCs w:val="22"/>
        </w:rPr>
        <w:t xml:space="preserve">A duas abordagens analíticas feitas sobre as obras de Ferreira e Alliende nos oportuniza compreender suas escritas sob o viés do testemunho e do Exílio. Em Voltar a Palermo (2002), Ferreira relata a história da ditadura ocorrida na Argentina em 1976 e ainda o caso de amor entre Maria e Nino.  A obra citada é baseada em memórias de uma época ofuscada pelo Regime Militar. Dentro desse contexto social, temos um romance que traz como espaço da cena narrativa a cidade de Buenos Aires com suas ruas e traçados paisagísticos. </w:t>
      </w:r>
    </w:p>
    <w:p w:rsidR="007E33C7" w:rsidRDefault="00991A8B" w:rsidP="003011DA">
      <w:pPr>
        <w:pStyle w:val="31Subttulo1"/>
        <w:numPr>
          <w:ilvl w:val="0"/>
          <w:numId w:val="0"/>
        </w:numPr>
        <w:spacing w:before="0" w:after="0" w:line="36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E228E8">
        <w:rPr>
          <w:rFonts w:ascii="Times New Roman" w:hAnsi="Times New Roman"/>
          <w:b w:val="0"/>
          <w:i w:val="0"/>
          <w:sz w:val="22"/>
          <w:szCs w:val="22"/>
        </w:rPr>
        <w:t>A narrativa de Ferreira aborda as memórias de uma professora brasileira que viveu na Argentina e por um período  testemunhou  rastros da ditadura  através da personagem Maria.</w:t>
      </w:r>
    </w:p>
    <w:p w:rsidR="00991A8B" w:rsidRDefault="00991A8B" w:rsidP="003011DA">
      <w:pPr>
        <w:pStyle w:val="31Subttulo1"/>
        <w:numPr>
          <w:ilvl w:val="0"/>
          <w:numId w:val="0"/>
        </w:numPr>
        <w:spacing w:before="0" w:after="0" w:line="36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E228E8">
        <w:rPr>
          <w:rFonts w:ascii="Times New Roman" w:hAnsi="Times New Roman"/>
          <w:b w:val="0"/>
          <w:i w:val="0"/>
          <w:sz w:val="22"/>
          <w:szCs w:val="22"/>
        </w:rPr>
        <w:t>Observamos no decorrer da pesquisa que os textos memorialísticos apresentam-se como um contexto histórico que situam a obra no tempo da ditadura militar na Argentina, anotando problemas sociais e políticos do tempo lembrado.</w:t>
      </w:r>
      <w:r w:rsidR="00227E9F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E228E8">
        <w:rPr>
          <w:rFonts w:ascii="Times New Roman" w:hAnsi="Times New Roman"/>
          <w:b w:val="0"/>
          <w:i w:val="0"/>
          <w:sz w:val="22"/>
          <w:szCs w:val="22"/>
        </w:rPr>
        <w:t>Em Meu País Inventado (2003), Allende conduz a trama em primeira pessoa, a narradora se identifica com a personagem que a representa; sugere uma retrospectiva de sua própria vida, contextualizando fatos políticos que envolveram sua família, tendo se exilado em 1973 na Venezuela, após a queda de Salvador Allende. Consideramos que as personagens, o ambiente histórico e político são ressignificados a partir da história oficial trazendo à baila a questão do exílio e do trauma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061D6B" w:rsidRPr="00E228E8" w:rsidRDefault="00991A8B" w:rsidP="003011DA">
      <w:pPr>
        <w:pStyle w:val="31Subttulo1"/>
        <w:numPr>
          <w:ilvl w:val="0"/>
          <w:numId w:val="0"/>
        </w:numPr>
        <w:spacing w:before="0" w:after="0" w:line="36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C</w:t>
      </w:r>
      <w:r w:rsidRPr="00E228E8">
        <w:rPr>
          <w:rFonts w:ascii="Times New Roman" w:hAnsi="Times New Roman"/>
          <w:b w:val="0"/>
          <w:i w:val="0"/>
          <w:sz w:val="22"/>
          <w:szCs w:val="22"/>
        </w:rPr>
        <w:t xml:space="preserve">onstatamos que reescrever o passado é ir além da necessidade histórica.   A memória descrita de um passado histórico testemunhado e traumático requer, portanto, um sentido, vital para a existência do indivíduo, permitindo o redimensionamento de acontecimentos passados para o presente e atribuindo-lhes novos sentidos. </w:t>
      </w:r>
      <w:r w:rsidR="00061D6B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E228E8">
        <w:rPr>
          <w:rFonts w:ascii="Times New Roman" w:hAnsi="Times New Roman"/>
          <w:b w:val="0"/>
          <w:i w:val="0"/>
          <w:sz w:val="22"/>
          <w:szCs w:val="22"/>
        </w:rPr>
        <w:t xml:space="preserve">Obras de cunho testemunhal como Voltar a Palermo (2002) e Mi Pais Inventado (2003) também podem ser considerados leituras de (des) </w:t>
      </w:r>
      <w:r w:rsidR="00C27262">
        <w:rPr>
          <w:rFonts w:ascii="Times New Roman" w:hAnsi="Times New Roman"/>
          <w:b w:val="0"/>
          <w:i w:val="0"/>
          <w:sz w:val="22"/>
          <w:szCs w:val="22"/>
        </w:rPr>
        <w:t>memorias(</w:t>
      </w:r>
      <w:r w:rsidR="00C27262" w:rsidRPr="00503430">
        <w:rPr>
          <w:rFonts w:cs="Arial"/>
          <w:b w:val="0"/>
          <w:i w:val="0"/>
          <w:sz w:val="18"/>
          <w:szCs w:val="18"/>
        </w:rPr>
        <w:t>Pertuzzati</w:t>
      </w:r>
      <w:r w:rsidR="00C27262" w:rsidRPr="00E228E8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27262">
        <w:rPr>
          <w:rFonts w:ascii="Times New Roman" w:hAnsi="Times New Roman"/>
          <w:b w:val="0"/>
          <w:i w:val="0"/>
          <w:sz w:val="22"/>
          <w:szCs w:val="22"/>
        </w:rPr>
        <w:t>&amp;Teixeira,2018)</w:t>
      </w:r>
      <w:r w:rsidRPr="00E228E8">
        <w:rPr>
          <w:rFonts w:ascii="Times New Roman" w:hAnsi="Times New Roman"/>
          <w:b w:val="0"/>
          <w:i w:val="0"/>
          <w:sz w:val="22"/>
          <w:szCs w:val="22"/>
        </w:rPr>
        <w:t>, uma vez que tratadas vítimas da repressão, como se elas nunca tivessem existido, são personagens e pessoas silenciadas e esquecidas por aqueles que não querem enxergar a maneira trágica como os militantes políticos desapareceram de nossa sociedade.</w:t>
      </w:r>
      <w:r w:rsidR="00227E9F" w:rsidRPr="00E228E8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503430" w:rsidRDefault="00503430" w:rsidP="00503430">
      <w:pPr>
        <w:pStyle w:val="31Subttulo1"/>
      </w:pPr>
      <w:r>
        <w:lastRenderedPageBreak/>
        <w:t>Bibliografía</w:t>
      </w:r>
    </w:p>
    <w:p w:rsidR="00DC1FD5" w:rsidRDefault="00991A8B" w:rsidP="00503430">
      <w:pPr>
        <w:pStyle w:val="31Subttulo1"/>
        <w:numPr>
          <w:ilvl w:val="0"/>
          <w:numId w:val="0"/>
        </w:numPr>
        <w:spacing w:line="240" w:lineRule="auto"/>
        <w:rPr>
          <w:rFonts w:cs="Arial"/>
          <w:b w:val="0"/>
          <w:i w:val="0"/>
          <w:sz w:val="18"/>
          <w:szCs w:val="18"/>
        </w:rPr>
      </w:pPr>
      <w:r w:rsidRPr="00503430">
        <w:rPr>
          <w:rFonts w:cs="Arial"/>
          <w:b w:val="0"/>
          <w:i w:val="0"/>
          <w:sz w:val="18"/>
          <w:szCs w:val="18"/>
        </w:rPr>
        <w:t>ALLIEND, ll (2003). Meu País Inventado. Tradução de Mário Pontes.Rio de Janeiro.Bertrand Brail</w:t>
      </w:r>
      <w:r w:rsidR="009C6ED9" w:rsidRPr="00503430">
        <w:rPr>
          <w:rFonts w:cs="Arial"/>
          <w:b w:val="0"/>
          <w:i w:val="0"/>
          <w:sz w:val="18"/>
          <w:szCs w:val="18"/>
        </w:rPr>
        <w:t xml:space="preserve">. </w:t>
      </w:r>
    </w:p>
    <w:p w:rsidR="00991A8B" w:rsidRPr="00503430" w:rsidRDefault="00991A8B" w:rsidP="00503430">
      <w:pPr>
        <w:pStyle w:val="31Subttulo1"/>
        <w:numPr>
          <w:ilvl w:val="0"/>
          <w:numId w:val="0"/>
        </w:numPr>
        <w:spacing w:line="240" w:lineRule="auto"/>
        <w:rPr>
          <w:rFonts w:cs="Arial"/>
          <w:b w:val="0"/>
          <w:i w:val="0"/>
          <w:sz w:val="18"/>
          <w:szCs w:val="18"/>
        </w:rPr>
      </w:pPr>
      <w:r w:rsidRPr="00A60766">
        <w:rPr>
          <w:rFonts w:cs="Arial"/>
          <w:b w:val="0"/>
          <w:i w:val="0"/>
          <w:sz w:val="18"/>
          <w:szCs w:val="18"/>
          <w:lang w:val="en-US"/>
        </w:rPr>
        <w:t xml:space="preserve">BENJAMIN, W. (1974). </w:t>
      </w:r>
      <w:r w:rsidRPr="00A60766">
        <w:rPr>
          <w:rFonts w:cs="Arial"/>
          <w:b w:val="0"/>
          <w:i w:val="0"/>
          <w:iCs/>
          <w:sz w:val="18"/>
          <w:szCs w:val="18"/>
          <w:lang w:val="en-US"/>
        </w:rPr>
        <w:t>Gesammelte Schriften</w:t>
      </w:r>
      <w:r w:rsidRPr="00A60766">
        <w:rPr>
          <w:rFonts w:cs="Arial"/>
          <w:b w:val="0"/>
          <w:i w:val="0"/>
          <w:sz w:val="18"/>
          <w:szCs w:val="18"/>
          <w:lang w:val="en-US"/>
        </w:rPr>
        <w:t xml:space="preserve">, v. 1. </w:t>
      </w:r>
      <w:r w:rsidRPr="00503430">
        <w:rPr>
          <w:rFonts w:cs="Arial"/>
          <w:b w:val="0"/>
          <w:i w:val="0"/>
          <w:sz w:val="18"/>
          <w:szCs w:val="18"/>
        </w:rPr>
        <w:t>Frankfurt: Suhrkamp</w:t>
      </w:r>
      <w:r w:rsidR="009C6ED9" w:rsidRPr="00503430">
        <w:rPr>
          <w:rFonts w:cs="Arial"/>
          <w:b w:val="0"/>
          <w:i w:val="0"/>
          <w:sz w:val="18"/>
          <w:szCs w:val="18"/>
        </w:rPr>
        <w:t>.</w:t>
      </w:r>
    </w:p>
    <w:p w:rsidR="009C6ED9" w:rsidRPr="00503430" w:rsidRDefault="00991A8B" w:rsidP="00B77A91">
      <w:pPr>
        <w:pStyle w:val="31Subttulo1"/>
        <w:numPr>
          <w:ilvl w:val="0"/>
          <w:numId w:val="0"/>
        </w:numPr>
        <w:tabs>
          <w:tab w:val="left" w:pos="709"/>
        </w:tabs>
        <w:ind w:left="426" w:hanging="426"/>
        <w:jc w:val="both"/>
        <w:rPr>
          <w:rFonts w:cs="Arial"/>
          <w:b w:val="0"/>
          <w:i w:val="0"/>
          <w:sz w:val="18"/>
          <w:szCs w:val="18"/>
        </w:rPr>
      </w:pPr>
      <w:r w:rsidRPr="00503430">
        <w:rPr>
          <w:rFonts w:cs="Arial"/>
          <w:b w:val="0"/>
          <w:i w:val="0"/>
          <w:sz w:val="18"/>
          <w:szCs w:val="18"/>
        </w:rPr>
        <w:t>CALAÇA, V</w:t>
      </w:r>
      <w:r w:rsidR="009C6ED9" w:rsidRPr="00503430">
        <w:rPr>
          <w:rFonts w:cs="Arial"/>
          <w:b w:val="0"/>
          <w:i w:val="0"/>
          <w:sz w:val="18"/>
          <w:szCs w:val="18"/>
        </w:rPr>
        <w:t>.M.P.(2016)</w:t>
      </w:r>
      <w:r w:rsidRPr="00503430">
        <w:rPr>
          <w:rFonts w:cs="Arial"/>
          <w:b w:val="0"/>
          <w:i w:val="0"/>
          <w:sz w:val="18"/>
          <w:szCs w:val="18"/>
        </w:rPr>
        <w:t xml:space="preserve">. Testemunhos da ditadura: a construção da memória no livro Memórias das </w:t>
      </w:r>
      <w:r w:rsidR="00503430">
        <w:rPr>
          <w:rFonts w:cs="Arial"/>
          <w:b w:val="0"/>
          <w:i w:val="0"/>
          <w:sz w:val="18"/>
          <w:szCs w:val="18"/>
        </w:rPr>
        <w:t xml:space="preserve">        </w:t>
      </w:r>
      <w:r w:rsidRPr="00503430">
        <w:rPr>
          <w:rFonts w:cs="Arial"/>
          <w:b w:val="0"/>
          <w:i w:val="0"/>
          <w:sz w:val="18"/>
          <w:szCs w:val="18"/>
        </w:rPr>
        <w:t xml:space="preserve">mulheres do exílio / Vanessa Maria Pereira Calaça. </w:t>
      </w:r>
    </w:p>
    <w:p w:rsidR="00991A8B" w:rsidRPr="00503430" w:rsidRDefault="00B77A91" w:rsidP="00503430">
      <w:pPr>
        <w:pStyle w:val="31Subttulo1"/>
        <w:numPr>
          <w:ilvl w:val="0"/>
          <w:numId w:val="0"/>
        </w:numPr>
        <w:jc w:val="both"/>
        <w:rPr>
          <w:rFonts w:cs="Arial"/>
          <w:b w:val="0"/>
          <w:i w:val="0"/>
          <w:sz w:val="18"/>
          <w:szCs w:val="18"/>
        </w:rPr>
      </w:pPr>
      <w:r>
        <w:rPr>
          <w:rFonts w:cs="Arial"/>
          <w:b w:val="0"/>
          <w:i w:val="0"/>
          <w:sz w:val="18"/>
          <w:szCs w:val="18"/>
        </w:rPr>
        <w:t>F</w:t>
      </w:r>
      <w:r w:rsidR="00503430">
        <w:rPr>
          <w:rFonts w:cs="Arial"/>
          <w:b w:val="0"/>
          <w:i w:val="0"/>
          <w:sz w:val="18"/>
          <w:szCs w:val="18"/>
        </w:rPr>
        <w:t>ER</w:t>
      </w:r>
      <w:r w:rsidR="00991A8B" w:rsidRPr="00503430">
        <w:rPr>
          <w:rFonts w:cs="Arial"/>
          <w:b w:val="0"/>
          <w:i w:val="0"/>
          <w:sz w:val="18"/>
          <w:szCs w:val="18"/>
        </w:rPr>
        <w:t>REIRA, L</w:t>
      </w:r>
      <w:r w:rsidR="009C6ED9" w:rsidRPr="00503430">
        <w:rPr>
          <w:rFonts w:cs="Arial"/>
          <w:b w:val="0"/>
          <w:i w:val="0"/>
          <w:sz w:val="18"/>
          <w:szCs w:val="18"/>
        </w:rPr>
        <w:t>.G.(2002)</w:t>
      </w:r>
      <w:r w:rsidR="00991A8B" w:rsidRPr="00503430">
        <w:rPr>
          <w:rFonts w:cs="Arial"/>
          <w:b w:val="0"/>
          <w:i w:val="0"/>
          <w:sz w:val="18"/>
          <w:szCs w:val="18"/>
        </w:rPr>
        <w:t>. Voltar a Palermo. Belo Horizonte: ed. Rocc</w:t>
      </w:r>
      <w:r w:rsidR="009C6ED9" w:rsidRPr="00503430">
        <w:rPr>
          <w:rFonts w:cs="Arial"/>
          <w:b w:val="0"/>
          <w:i w:val="0"/>
          <w:sz w:val="18"/>
          <w:szCs w:val="18"/>
        </w:rPr>
        <w:t>o.</w:t>
      </w:r>
    </w:p>
    <w:p w:rsidR="00F8160B" w:rsidRDefault="00991A8B" w:rsidP="00F8160B">
      <w:pPr>
        <w:pStyle w:val="31Subttulo1"/>
        <w:numPr>
          <w:ilvl w:val="0"/>
          <w:numId w:val="0"/>
        </w:numPr>
        <w:spacing w:line="240" w:lineRule="auto"/>
        <w:ind w:left="567" w:hanging="567"/>
        <w:jc w:val="both"/>
        <w:rPr>
          <w:rFonts w:cs="Arial"/>
          <w:b w:val="0"/>
          <w:i w:val="0"/>
          <w:sz w:val="18"/>
          <w:szCs w:val="18"/>
        </w:rPr>
      </w:pPr>
      <w:r w:rsidRPr="00503430">
        <w:rPr>
          <w:rFonts w:cs="Arial"/>
          <w:b w:val="0"/>
          <w:i w:val="0"/>
          <w:sz w:val="18"/>
          <w:szCs w:val="18"/>
        </w:rPr>
        <w:t>FERREIRA, M</w:t>
      </w:r>
      <w:r w:rsidR="00BB3866" w:rsidRPr="00503430">
        <w:rPr>
          <w:rFonts w:cs="Arial"/>
          <w:b w:val="0"/>
          <w:i w:val="0"/>
          <w:sz w:val="18"/>
          <w:szCs w:val="18"/>
        </w:rPr>
        <w:t>.</w:t>
      </w:r>
      <w:r w:rsidRPr="00503430">
        <w:rPr>
          <w:rFonts w:cs="Arial"/>
          <w:b w:val="0"/>
          <w:i w:val="0"/>
          <w:sz w:val="18"/>
          <w:szCs w:val="18"/>
        </w:rPr>
        <w:t>M.</w:t>
      </w:r>
      <w:r w:rsidR="00BB3866" w:rsidRPr="00503430">
        <w:rPr>
          <w:rFonts w:cs="Arial"/>
          <w:b w:val="0"/>
          <w:i w:val="0"/>
          <w:sz w:val="18"/>
          <w:szCs w:val="18"/>
        </w:rPr>
        <w:t>(2012).</w:t>
      </w:r>
      <w:r w:rsidRPr="00503430">
        <w:rPr>
          <w:rFonts w:cs="Arial"/>
          <w:b w:val="0"/>
          <w:i w:val="0"/>
          <w:sz w:val="18"/>
          <w:szCs w:val="18"/>
        </w:rPr>
        <w:t xml:space="preserve"> Demandas sociais e história do tempo presente. In. Tempo presente e usos do passado. Rio de Janeiro: FGC editora, 2012.</w:t>
      </w:r>
    </w:p>
    <w:p w:rsidR="00991A8B" w:rsidRPr="00503430" w:rsidRDefault="00992E1C" w:rsidP="00F8160B">
      <w:pPr>
        <w:pStyle w:val="31Subttulo1"/>
        <w:numPr>
          <w:ilvl w:val="0"/>
          <w:numId w:val="0"/>
        </w:numPr>
        <w:spacing w:line="240" w:lineRule="auto"/>
        <w:ind w:left="567" w:hanging="567"/>
        <w:jc w:val="both"/>
        <w:rPr>
          <w:rFonts w:cs="Arial"/>
          <w:b w:val="0"/>
          <w:i w:val="0"/>
          <w:sz w:val="18"/>
          <w:szCs w:val="18"/>
        </w:rPr>
      </w:pPr>
      <w:r>
        <w:rPr>
          <w:rFonts w:cs="Arial"/>
          <w:b w:val="0"/>
          <w:i w:val="0"/>
          <w:sz w:val="18"/>
          <w:szCs w:val="18"/>
        </w:rPr>
        <w:t xml:space="preserve"> </w:t>
      </w:r>
      <w:r w:rsidR="00991A8B" w:rsidRPr="00503430">
        <w:rPr>
          <w:rFonts w:cs="Arial"/>
          <w:b w:val="0"/>
          <w:i w:val="0"/>
          <w:sz w:val="18"/>
          <w:szCs w:val="18"/>
        </w:rPr>
        <w:t>F</w:t>
      </w:r>
      <w:r w:rsidR="00BF0039">
        <w:rPr>
          <w:rFonts w:cs="Arial"/>
          <w:b w:val="0"/>
          <w:i w:val="0"/>
          <w:sz w:val="18"/>
          <w:szCs w:val="18"/>
        </w:rPr>
        <w:t>U</w:t>
      </w:r>
      <w:r w:rsidR="00991A8B" w:rsidRPr="00503430">
        <w:rPr>
          <w:rFonts w:cs="Arial"/>
          <w:b w:val="0"/>
          <w:i w:val="0"/>
          <w:sz w:val="18"/>
          <w:szCs w:val="18"/>
        </w:rPr>
        <w:t>X, J</w:t>
      </w:r>
      <w:r w:rsidR="00BB3866" w:rsidRPr="00503430">
        <w:rPr>
          <w:rFonts w:cs="Arial"/>
          <w:b w:val="0"/>
          <w:i w:val="0"/>
          <w:sz w:val="18"/>
          <w:szCs w:val="18"/>
        </w:rPr>
        <w:t>.(</w:t>
      </w:r>
      <w:r w:rsidR="00EF649D">
        <w:rPr>
          <w:rFonts w:cs="Arial"/>
          <w:b w:val="0"/>
          <w:i w:val="0"/>
          <w:sz w:val="18"/>
          <w:szCs w:val="18"/>
        </w:rPr>
        <w:t>2012</w:t>
      </w:r>
      <w:r w:rsidR="00BB3866" w:rsidRPr="00503430">
        <w:rPr>
          <w:rFonts w:cs="Arial"/>
          <w:b w:val="0"/>
          <w:i w:val="0"/>
          <w:sz w:val="18"/>
          <w:szCs w:val="18"/>
        </w:rPr>
        <w:t>)</w:t>
      </w:r>
      <w:r w:rsidR="00991A8B" w:rsidRPr="00503430">
        <w:rPr>
          <w:rFonts w:cs="Arial"/>
          <w:b w:val="0"/>
          <w:i w:val="0"/>
          <w:sz w:val="18"/>
          <w:szCs w:val="18"/>
        </w:rPr>
        <w:t xml:space="preserve"> </w:t>
      </w:r>
      <w:r w:rsidR="00991A8B" w:rsidRPr="00503430">
        <w:rPr>
          <w:rFonts w:cs="Arial"/>
          <w:b w:val="0"/>
          <w:i w:val="0"/>
          <w:iCs/>
          <w:sz w:val="18"/>
          <w:szCs w:val="18"/>
        </w:rPr>
        <w:t xml:space="preserve">W </w:t>
      </w:r>
      <w:r w:rsidR="00991A8B" w:rsidRPr="00503430">
        <w:rPr>
          <w:rFonts w:cs="Arial"/>
          <w:b w:val="0"/>
          <w:i w:val="0"/>
          <w:sz w:val="18"/>
          <w:szCs w:val="18"/>
        </w:rPr>
        <w:t>ou o testemunho da infância. In:letras de hoje. Harvard  University/Universidade Estadual de Campinas – Massachusetts/Campinas – Estados Unidos da América/Brasil.</w:t>
      </w:r>
    </w:p>
    <w:p w:rsidR="00991A8B" w:rsidRPr="00503430" w:rsidRDefault="00991A8B" w:rsidP="00F8160B">
      <w:pPr>
        <w:pStyle w:val="31Subttulo1"/>
        <w:numPr>
          <w:ilvl w:val="0"/>
          <w:numId w:val="0"/>
        </w:numPr>
        <w:spacing w:line="240" w:lineRule="auto"/>
        <w:ind w:left="567" w:hanging="567"/>
        <w:jc w:val="both"/>
        <w:rPr>
          <w:rFonts w:cs="Arial"/>
          <w:b w:val="0"/>
          <w:i w:val="0"/>
          <w:sz w:val="18"/>
          <w:szCs w:val="18"/>
        </w:rPr>
      </w:pPr>
      <w:r w:rsidRPr="00503430">
        <w:rPr>
          <w:rFonts w:cs="Arial"/>
          <w:b w:val="0"/>
          <w:i w:val="0"/>
          <w:sz w:val="18"/>
          <w:szCs w:val="18"/>
        </w:rPr>
        <w:t>MACIEL, A</w:t>
      </w:r>
      <w:r w:rsidR="00BB3866" w:rsidRPr="00503430">
        <w:rPr>
          <w:rFonts w:cs="Arial"/>
          <w:b w:val="0"/>
          <w:i w:val="0"/>
          <w:sz w:val="18"/>
          <w:szCs w:val="18"/>
        </w:rPr>
        <w:t>.</w:t>
      </w:r>
      <w:r w:rsidRPr="00503430">
        <w:rPr>
          <w:rFonts w:cs="Arial"/>
          <w:b w:val="0"/>
          <w:i w:val="0"/>
          <w:sz w:val="18"/>
          <w:szCs w:val="18"/>
        </w:rPr>
        <w:t>D</w:t>
      </w:r>
      <w:r w:rsidR="00BB3866" w:rsidRPr="00503430">
        <w:rPr>
          <w:rFonts w:cs="Arial"/>
          <w:b w:val="0"/>
          <w:i w:val="0"/>
          <w:sz w:val="18"/>
          <w:szCs w:val="18"/>
        </w:rPr>
        <w:t>.(2011)</w:t>
      </w:r>
      <w:r w:rsidRPr="00503430">
        <w:rPr>
          <w:rFonts w:cs="Arial"/>
          <w:b w:val="0"/>
          <w:i w:val="0"/>
          <w:sz w:val="18"/>
          <w:szCs w:val="18"/>
        </w:rPr>
        <w:t>. Autobiografia e Memória: uma comparação entre as obras de  Historie de Ma Vie e Voltar a Palermo.Recide:O autor.</w:t>
      </w:r>
    </w:p>
    <w:p w:rsidR="00991A8B" w:rsidRPr="00503430" w:rsidRDefault="00991A8B" w:rsidP="00F8160B">
      <w:pPr>
        <w:pStyle w:val="31Subttulo1"/>
        <w:numPr>
          <w:ilvl w:val="0"/>
          <w:numId w:val="0"/>
        </w:numPr>
        <w:spacing w:line="240" w:lineRule="auto"/>
        <w:ind w:left="567" w:hanging="567"/>
        <w:jc w:val="both"/>
        <w:rPr>
          <w:rFonts w:cs="Arial"/>
          <w:b w:val="0"/>
          <w:i w:val="0"/>
          <w:sz w:val="18"/>
          <w:szCs w:val="18"/>
        </w:rPr>
      </w:pPr>
      <w:r w:rsidRPr="00503430">
        <w:rPr>
          <w:rFonts w:cs="Arial"/>
          <w:b w:val="0"/>
          <w:i w:val="0"/>
          <w:sz w:val="18"/>
          <w:szCs w:val="18"/>
        </w:rPr>
        <w:t>PERTUZZATI, B</w:t>
      </w:r>
      <w:r w:rsidR="00BD073B" w:rsidRPr="00503430">
        <w:rPr>
          <w:rFonts w:cs="Arial"/>
          <w:b w:val="0"/>
          <w:i w:val="0"/>
          <w:sz w:val="18"/>
          <w:szCs w:val="18"/>
        </w:rPr>
        <w:t xml:space="preserve">.Z.&amp; </w:t>
      </w:r>
      <w:r w:rsidRPr="00503430">
        <w:rPr>
          <w:rFonts w:cs="Arial"/>
          <w:b w:val="0"/>
          <w:i w:val="0"/>
          <w:sz w:val="18"/>
          <w:szCs w:val="18"/>
        </w:rPr>
        <w:t xml:space="preserve">Ana </w:t>
      </w:r>
      <w:r w:rsidR="00BD073B" w:rsidRPr="00503430">
        <w:rPr>
          <w:rFonts w:cs="Arial"/>
          <w:b w:val="0"/>
          <w:i w:val="0"/>
          <w:sz w:val="18"/>
          <w:szCs w:val="18"/>
        </w:rPr>
        <w:t>P.T.(2018)</w:t>
      </w:r>
      <w:r w:rsidRPr="00503430">
        <w:rPr>
          <w:rFonts w:cs="Arial"/>
          <w:b w:val="0"/>
          <w:i w:val="0"/>
          <w:sz w:val="18"/>
          <w:szCs w:val="18"/>
        </w:rPr>
        <w:t xml:space="preserve">. Literatura de Testemunho e Crítica Social: uma análise do romance </w:t>
      </w:r>
      <w:r w:rsidRPr="00503430">
        <w:rPr>
          <w:rFonts w:cs="Arial"/>
          <w:b w:val="0"/>
          <w:i w:val="0"/>
          <w:iCs/>
          <w:sz w:val="18"/>
          <w:szCs w:val="18"/>
        </w:rPr>
        <w:t>k. – relato de uma busca</w:t>
      </w:r>
      <w:r w:rsidRPr="00503430">
        <w:rPr>
          <w:rFonts w:cs="Arial"/>
          <w:b w:val="0"/>
          <w:i w:val="0"/>
          <w:sz w:val="18"/>
          <w:szCs w:val="18"/>
        </w:rPr>
        <w:t xml:space="preserve">, de Bernardo Kucinsk .In: Vivências: Revista Eletrônica de Extensão da URI ISSN 1809-1636.Disponível  em:&lt;. https://periodicos.ufsm.br/index.php/LA – ISSN 1679-849X-&gt; </w:t>
      </w:r>
      <w:r w:rsidR="008A6801">
        <w:rPr>
          <w:rFonts w:cs="Arial"/>
          <w:b w:val="0"/>
          <w:i w:val="0"/>
          <w:sz w:val="18"/>
          <w:szCs w:val="18"/>
        </w:rPr>
        <w:t>Acesso10/12/2018.</w:t>
      </w:r>
    </w:p>
    <w:p w:rsidR="00991A8B" w:rsidRPr="00503430" w:rsidRDefault="00991A8B" w:rsidP="00992E1C">
      <w:pPr>
        <w:pStyle w:val="31Subttulo1"/>
        <w:numPr>
          <w:ilvl w:val="0"/>
          <w:numId w:val="0"/>
        </w:numPr>
        <w:ind w:left="567" w:hanging="567"/>
        <w:jc w:val="both"/>
        <w:rPr>
          <w:rFonts w:cs="Arial"/>
          <w:b w:val="0"/>
          <w:i w:val="0"/>
          <w:sz w:val="18"/>
          <w:szCs w:val="18"/>
        </w:rPr>
      </w:pPr>
      <w:r w:rsidRPr="00503430">
        <w:rPr>
          <w:rFonts w:cs="Arial"/>
          <w:b w:val="0"/>
          <w:i w:val="0"/>
          <w:sz w:val="18"/>
          <w:szCs w:val="18"/>
        </w:rPr>
        <w:t xml:space="preserve">PEREC, </w:t>
      </w:r>
      <w:r w:rsidR="00BD073B" w:rsidRPr="00503430">
        <w:rPr>
          <w:rFonts w:cs="Arial"/>
          <w:b w:val="0"/>
          <w:i w:val="0"/>
          <w:sz w:val="18"/>
          <w:szCs w:val="18"/>
        </w:rPr>
        <w:t xml:space="preserve">G.(1995) </w:t>
      </w:r>
      <w:r w:rsidRPr="00503430">
        <w:rPr>
          <w:rFonts w:cs="Arial"/>
          <w:b w:val="0"/>
          <w:i w:val="0"/>
          <w:sz w:val="18"/>
          <w:szCs w:val="18"/>
        </w:rPr>
        <w:t>W ou a memória da infância. Tradução: Paulo Neves. São Paulo: Companhia das Letras</w:t>
      </w:r>
      <w:r w:rsidR="00BD073B" w:rsidRPr="00503430">
        <w:rPr>
          <w:rFonts w:cs="Arial"/>
          <w:b w:val="0"/>
          <w:i w:val="0"/>
          <w:sz w:val="18"/>
          <w:szCs w:val="18"/>
        </w:rPr>
        <w:t>.</w:t>
      </w:r>
    </w:p>
    <w:p w:rsidR="00991A8B" w:rsidRPr="00503430" w:rsidRDefault="00991A8B" w:rsidP="000F25EA">
      <w:pPr>
        <w:pStyle w:val="31Subttulo1"/>
        <w:numPr>
          <w:ilvl w:val="0"/>
          <w:numId w:val="0"/>
        </w:numPr>
        <w:tabs>
          <w:tab w:val="left" w:pos="567"/>
        </w:tabs>
        <w:ind w:left="567" w:hanging="567"/>
        <w:jc w:val="both"/>
        <w:rPr>
          <w:rFonts w:cs="Arial"/>
          <w:b w:val="0"/>
          <w:i w:val="0"/>
          <w:sz w:val="18"/>
          <w:szCs w:val="18"/>
        </w:rPr>
      </w:pPr>
      <w:r w:rsidRPr="00503430">
        <w:rPr>
          <w:rFonts w:cs="Arial"/>
          <w:b w:val="0"/>
          <w:i w:val="0"/>
          <w:sz w:val="18"/>
          <w:szCs w:val="18"/>
        </w:rPr>
        <w:t>SELIGMANN-SILVA,</w:t>
      </w:r>
      <w:r w:rsidR="00BD073B" w:rsidRPr="00503430">
        <w:rPr>
          <w:rFonts w:cs="Arial"/>
          <w:b w:val="0"/>
          <w:i w:val="0"/>
          <w:sz w:val="18"/>
          <w:szCs w:val="18"/>
        </w:rPr>
        <w:t>M.(2000b)</w:t>
      </w:r>
      <w:r w:rsidRPr="00503430">
        <w:rPr>
          <w:rFonts w:cs="Arial"/>
          <w:b w:val="0"/>
          <w:i w:val="0"/>
          <w:sz w:val="18"/>
          <w:szCs w:val="18"/>
        </w:rPr>
        <w:t>.  Catástrofe e representação: ensaios / Arthur Nestrovski, Márcio Seligmann-Siiva (orgs.). - São Paulo: Escuta</w:t>
      </w:r>
      <w:r w:rsidR="00BD073B" w:rsidRPr="00503430">
        <w:rPr>
          <w:rFonts w:cs="Arial"/>
          <w:b w:val="0"/>
          <w:i w:val="0"/>
          <w:sz w:val="18"/>
          <w:szCs w:val="18"/>
        </w:rPr>
        <w:t>.</w:t>
      </w:r>
      <w:r w:rsidRPr="00503430">
        <w:rPr>
          <w:rFonts w:cs="Arial"/>
          <w:b w:val="0"/>
          <w:i w:val="0"/>
          <w:sz w:val="18"/>
          <w:szCs w:val="18"/>
        </w:rPr>
        <w:t xml:space="preserve"> </w:t>
      </w:r>
    </w:p>
    <w:p w:rsidR="00991A8B" w:rsidRPr="00503430" w:rsidRDefault="00503430" w:rsidP="000F25EA">
      <w:pPr>
        <w:pStyle w:val="31Subttulo1"/>
        <w:numPr>
          <w:ilvl w:val="0"/>
          <w:numId w:val="0"/>
        </w:numPr>
        <w:ind w:left="567" w:hanging="567"/>
        <w:jc w:val="both"/>
        <w:rPr>
          <w:rFonts w:cs="Arial"/>
          <w:b w:val="0"/>
          <w:i w:val="0"/>
          <w:sz w:val="18"/>
          <w:szCs w:val="18"/>
        </w:rPr>
      </w:pPr>
      <w:r>
        <w:rPr>
          <w:rFonts w:cs="Arial"/>
          <w:b w:val="0"/>
          <w:i w:val="0"/>
          <w:sz w:val="18"/>
          <w:szCs w:val="18"/>
        </w:rPr>
        <w:t>SELIGMANN-SILVA.M</w:t>
      </w:r>
      <w:r w:rsidR="00991A8B" w:rsidRPr="00503430">
        <w:rPr>
          <w:rFonts w:cs="Arial"/>
          <w:b w:val="0"/>
          <w:i w:val="0"/>
          <w:sz w:val="18"/>
          <w:szCs w:val="18"/>
        </w:rPr>
        <w:t>.</w:t>
      </w:r>
      <w:r w:rsidR="00BD073B" w:rsidRPr="00503430">
        <w:rPr>
          <w:rFonts w:cs="Arial"/>
          <w:b w:val="0"/>
          <w:i w:val="0"/>
          <w:sz w:val="18"/>
          <w:szCs w:val="18"/>
        </w:rPr>
        <w:t>(2003a)</w:t>
      </w:r>
      <w:r w:rsidR="00991A8B" w:rsidRPr="00503430">
        <w:rPr>
          <w:rFonts w:cs="Arial"/>
          <w:b w:val="0"/>
          <w:i w:val="0"/>
          <w:sz w:val="18"/>
          <w:szCs w:val="18"/>
        </w:rPr>
        <w:t xml:space="preserve"> História Memória Literatura: o testemunho na era das catástrofes. Campinas: Editora Unicamp, ______Literatura do Trauma.Disponível em,&lt; http://www.dicta.com.br/a-literatura-do-trauma&gt; .Acesso em:21/09/2018.</w:t>
      </w:r>
    </w:p>
    <w:p w:rsidR="00991A8B" w:rsidRPr="00503430" w:rsidRDefault="00503430" w:rsidP="002D4041">
      <w:pPr>
        <w:pStyle w:val="31Subttulo1"/>
        <w:numPr>
          <w:ilvl w:val="0"/>
          <w:numId w:val="0"/>
        </w:numPr>
        <w:ind w:left="567" w:hanging="567"/>
        <w:rPr>
          <w:rFonts w:cs="Arial"/>
          <w:b w:val="0"/>
          <w:i w:val="0"/>
          <w:sz w:val="18"/>
          <w:szCs w:val="18"/>
        </w:rPr>
      </w:pPr>
      <w:r>
        <w:rPr>
          <w:rFonts w:cs="Arial"/>
          <w:b w:val="0"/>
          <w:i w:val="0"/>
          <w:sz w:val="18"/>
          <w:szCs w:val="18"/>
        </w:rPr>
        <w:t>SELIGMANN-SILVA.M</w:t>
      </w:r>
      <w:r w:rsidRPr="00503430">
        <w:rPr>
          <w:rFonts w:cs="Arial"/>
          <w:b w:val="0"/>
          <w:i w:val="0"/>
          <w:sz w:val="18"/>
          <w:szCs w:val="18"/>
        </w:rPr>
        <w:t xml:space="preserve"> </w:t>
      </w:r>
      <w:r w:rsidR="00991A8B" w:rsidRPr="00503430">
        <w:rPr>
          <w:rFonts w:cs="Arial"/>
          <w:b w:val="0"/>
          <w:i w:val="0"/>
          <w:sz w:val="18"/>
          <w:szCs w:val="18"/>
        </w:rPr>
        <w:t xml:space="preserve">Narrar o trauma – a questão dos testemunhos de catástrofes históricas.In: Psic. clin., rio de janeiro, vol.20, n.1, p.65 – 82, 2008&lt;,http://www.scielo.br/pdf/pc/v20n1/05&gt; Acesso em:21/09/2018.  </w:t>
      </w:r>
    </w:p>
    <w:p w:rsidR="00991A8B" w:rsidRPr="00503430" w:rsidRDefault="002D4041" w:rsidP="00F8160B">
      <w:pPr>
        <w:pStyle w:val="31Subttulo1"/>
        <w:numPr>
          <w:ilvl w:val="0"/>
          <w:numId w:val="0"/>
        </w:numPr>
        <w:spacing w:line="240" w:lineRule="auto"/>
        <w:ind w:left="567" w:hanging="1134"/>
        <w:rPr>
          <w:rFonts w:cs="Arial"/>
          <w:b w:val="0"/>
          <w:i w:val="0"/>
          <w:sz w:val="18"/>
          <w:szCs w:val="18"/>
        </w:rPr>
      </w:pPr>
      <w:r w:rsidRPr="00EF649D">
        <w:rPr>
          <w:rFonts w:cs="Arial"/>
          <w:b w:val="0"/>
          <w:i w:val="0"/>
          <w:sz w:val="18"/>
          <w:szCs w:val="18"/>
          <w:lang w:val="pt-BR"/>
        </w:rPr>
        <w:t xml:space="preserve">            </w:t>
      </w:r>
      <w:r w:rsidR="00991A8B" w:rsidRPr="00503430">
        <w:rPr>
          <w:rFonts w:cs="Arial"/>
          <w:b w:val="0"/>
          <w:i w:val="0"/>
          <w:sz w:val="18"/>
          <w:szCs w:val="18"/>
          <w:lang w:val="en-US"/>
        </w:rPr>
        <w:t>SULEIMAN, S</w:t>
      </w:r>
      <w:r w:rsidR="00BD073B" w:rsidRPr="00503430">
        <w:rPr>
          <w:rFonts w:cs="Arial"/>
          <w:b w:val="0"/>
          <w:i w:val="0"/>
          <w:sz w:val="18"/>
          <w:szCs w:val="18"/>
          <w:lang w:val="en-US"/>
        </w:rPr>
        <w:t>.R.2006)</w:t>
      </w:r>
      <w:r w:rsidR="00991A8B" w:rsidRPr="00503430">
        <w:rPr>
          <w:rFonts w:cs="Arial"/>
          <w:b w:val="0"/>
          <w:i w:val="0"/>
          <w:sz w:val="18"/>
          <w:szCs w:val="18"/>
          <w:lang w:val="en-US"/>
        </w:rPr>
        <w:t xml:space="preserve">. </w:t>
      </w:r>
      <w:r w:rsidR="00991A8B" w:rsidRPr="00A60766">
        <w:rPr>
          <w:rFonts w:cs="Arial"/>
          <w:b w:val="0"/>
          <w:i w:val="0"/>
          <w:iCs/>
          <w:sz w:val="18"/>
          <w:szCs w:val="18"/>
          <w:lang w:val="en-US"/>
        </w:rPr>
        <w:t>Crises of memory and the Second World War</w:t>
      </w:r>
      <w:r w:rsidR="00991A8B" w:rsidRPr="00A60766">
        <w:rPr>
          <w:rFonts w:cs="Arial"/>
          <w:b w:val="0"/>
          <w:i w:val="0"/>
          <w:sz w:val="18"/>
          <w:szCs w:val="18"/>
          <w:lang w:val="en-US"/>
        </w:rPr>
        <w:t xml:space="preserve">. </w:t>
      </w:r>
      <w:r w:rsidR="00991A8B" w:rsidRPr="00503430">
        <w:rPr>
          <w:rFonts w:cs="Arial"/>
          <w:b w:val="0"/>
          <w:i w:val="0"/>
          <w:sz w:val="18"/>
          <w:szCs w:val="18"/>
        </w:rPr>
        <w:t xml:space="preserve">Cambridge: Harvard University </w:t>
      </w:r>
      <w:r>
        <w:rPr>
          <w:rFonts w:cs="Arial"/>
          <w:b w:val="0"/>
          <w:i w:val="0"/>
          <w:sz w:val="18"/>
          <w:szCs w:val="18"/>
        </w:rPr>
        <w:t xml:space="preserve">     </w:t>
      </w:r>
      <w:r w:rsidR="00991A8B" w:rsidRPr="00503430">
        <w:rPr>
          <w:rFonts w:cs="Arial"/>
          <w:b w:val="0"/>
          <w:i w:val="0"/>
          <w:sz w:val="18"/>
          <w:szCs w:val="18"/>
        </w:rPr>
        <w:t>Press</w:t>
      </w:r>
      <w:r w:rsidR="00BD073B" w:rsidRPr="00503430">
        <w:rPr>
          <w:rFonts w:cs="Arial"/>
          <w:b w:val="0"/>
          <w:i w:val="0"/>
          <w:sz w:val="18"/>
          <w:szCs w:val="18"/>
        </w:rPr>
        <w:t>.</w:t>
      </w:r>
    </w:p>
    <w:p w:rsidR="00991A8B" w:rsidRPr="00503430" w:rsidRDefault="00991A8B" w:rsidP="00F8160B">
      <w:pPr>
        <w:pStyle w:val="31Subttulo1"/>
        <w:numPr>
          <w:ilvl w:val="0"/>
          <w:numId w:val="0"/>
        </w:numPr>
        <w:tabs>
          <w:tab w:val="left" w:pos="567"/>
        </w:tabs>
        <w:spacing w:line="240" w:lineRule="auto"/>
        <w:ind w:left="567" w:hanging="567"/>
        <w:jc w:val="both"/>
        <w:rPr>
          <w:rFonts w:cs="Arial"/>
          <w:b w:val="0"/>
          <w:i w:val="0"/>
          <w:sz w:val="18"/>
          <w:szCs w:val="18"/>
        </w:rPr>
      </w:pPr>
      <w:r w:rsidRPr="00503430">
        <w:rPr>
          <w:rFonts w:cs="Arial"/>
          <w:b w:val="0"/>
          <w:i w:val="0"/>
          <w:sz w:val="18"/>
          <w:szCs w:val="18"/>
        </w:rPr>
        <w:t xml:space="preserve">RONIGER, </w:t>
      </w:r>
      <w:r w:rsidR="00BD073B" w:rsidRPr="00503430">
        <w:rPr>
          <w:rFonts w:cs="Arial"/>
          <w:b w:val="0"/>
          <w:i w:val="0"/>
          <w:sz w:val="18"/>
          <w:szCs w:val="18"/>
        </w:rPr>
        <w:t>L(2011)</w:t>
      </w:r>
      <w:r w:rsidRPr="00503430">
        <w:rPr>
          <w:rFonts w:cs="Arial"/>
          <w:b w:val="0"/>
          <w:i w:val="0"/>
          <w:sz w:val="18"/>
          <w:szCs w:val="18"/>
        </w:rPr>
        <w:t xml:space="preserve">. ―Reflexões sobre o exílio como tema de investigação:  avanços teóricos e desafios‖. In: QUADRAT, Samantha Viz (org.). </w:t>
      </w:r>
      <w:r w:rsidRPr="00503430">
        <w:rPr>
          <w:rFonts w:cs="Arial"/>
          <w:b w:val="0"/>
          <w:i w:val="0"/>
          <w:iCs/>
          <w:sz w:val="18"/>
          <w:szCs w:val="18"/>
        </w:rPr>
        <w:t xml:space="preserve">Caminhos Cruzados: </w:t>
      </w:r>
      <w:r w:rsidRPr="00503430">
        <w:rPr>
          <w:rFonts w:cs="Arial"/>
          <w:b w:val="0"/>
          <w:i w:val="0"/>
          <w:sz w:val="18"/>
          <w:szCs w:val="18"/>
        </w:rPr>
        <w:t xml:space="preserve">112 </w:t>
      </w:r>
      <w:r w:rsidRPr="00503430">
        <w:rPr>
          <w:rFonts w:cs="Arial"/>
          <w:b w:val="0"/>
          <w:i w:val="0"/>
          <w:iCs/>
          <w:sz w:val="18"/>
          <w:szCs w:val="18"/>
        </w:rPr>
        <w:t>história e memória dos exilados latino-americanos no século XX</w:t>
      </w:r>
      <w:r w:rsidRPr="00503430">
        <w:rPr>
          <w:rFonts w:cs="Arial"/>
          <w:b w:val="0"/>
          <w:i w:val="0"/>
          <w:sz w:val="18"/>
          <w:szCs w:val="18"/>
        </w:rPr>
        <w:t>. Rio de Janeiro: Editora FGV, 2011. p.31-64</w:t>
      </w:r>
    </w:p>
    <w:p w:rsidR="00991A8B" w:rsidRPr="00503430" w:rsidRDefault="00991A8B" w:rsidP="00503430">
      <w:pPr>
        <w:pStyle w:val="31Subttulo1"/>
        <w:ind w:left="0" w:firstLine="0"/>
        <w:rPr>
          <w:rFonts w:cs="Arial"/>
          <w:i w:val="0"/>
          <w:sz w:val="18"/>
          <w:szCs w:val="18"/>
        </w:rPr>
      </w:pPr>
    </w:p>
    <w:p w:rsidR="00991A8B" w:rsidRPr="00503430" w:rsidRDefault="00991A8B" w:rsidP="00503430">
      <w:pPr>
        <w:pStyle w:val="31Subttulo1"/>
        <w:ind w:left="0" w:firstLine="0"/>
        <w:rPr>
          <w:rFonts w:cs="Arial"/>
          <w:i w:val="0"/>
          <w:sz w:val="18"/>
          <w:szCs w:val="18"/>
        </w:rPr>
      </w:pPr>
    </w:p>
    <w:p w:rsidR="006E62A1" w:rsidRPr="00503430" w:rsidRDefault="006E62A1" w:rsidP="00503430">
      <w:pPr>
        <w:rPr>
          <w:rFonts w:ascii="Arial" w:hAnsi="Arial" w:cs="Arial"/>
          <w:sz w:val="18"/>
          <w:szCs w:val="18"/>
        </w:rPr>
      </w:pPr>
    </w:p>
    <w:sectPr w:rsidR="006E62A1" w:rsidRPr="00503430" w:rsidSect="006E6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0C" w:rsidRDefault="006F570C" w:rsidP="00991A8B">
      <w:r>
        <w:separator/>
      </w:r>
    </w:p>
  </w:endnote>
  <w:endnote w:type="continuationSeparator" w:id="0">
    <w:p w:rsidR="006F570C" w:rsidRDefault="006F570C" w:rsidP="0099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0C" w:rsidRDefault="006F570C" w:rsidP="00991A8B">
      <w:r>
        <w:separator/>
      </w:r>
    </w:p>
  </w:footnote>
  <w:footnote w:type="continuationSeparator" w:id="0">
    <w:p w:rsidR="006F570C" w:rsidRDefault="006F570C" w:rsidP="00991A8B">
      <w:r>
        <w:continuationSeparator/>
      </w:r>
    </w:p>
  </w:footnote>
  <w:footnote w:id="1">
    <w:p w:rsidR="00991A8B" w:rsidRPr="00EF649D" w:rsidRDefault="00991A8B" w:rsidP="00991A8B">
      <w:pPr>
        <w:pStyle w:val="Textonotapie"/>
        <w:jc w:val="both"/>
        <w:rPr>
          <w:rFonts w:ascii="Times New Roman" w:hAnsi="Times New Roman"/>
          <w:lang w:val="pt-BR"/>
        </w:rPr>
      </w:pPr>
      <w:r>
        <w:rPr>
          <w:rStyle w:val="Refdenotaalpie"/>
        </w:rPr>
        <w:footnoteRef/>
      </w:r>
      <w:r w:rsidRPr="00EF649D">
        <w:rPr>
          <w:lang w:val="pt-BR"/>
        </w:rPr>
        <w:t xml:space="preserve"> </w:t>
      </w:r>
      <w:r w:rsidRPr="00EF649D">
        <w:rPr>
          <w:rFonts w:ascii="Times New Roman" w:hAnsi="Times New Roman"/>
          <w:lang w:val="pt-BR"/>
        </w:rPr>
        <w:t xml:space="preserve">Poeta argentina nascida em 1892 na Suíça é um dos ícones da literatura pós-moderna. Com uma infância difícil e carente e depois uma vida com doenças recorrentes, sua poesia está impregnada de luta, audácia, amor e uma reivindicação do gênero feminino.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E583E"/>
    <w:multiLevelType w:val="hybridMultilevel"/>
    <w:tmpl w:val="4A6CA4D2"/>
    <w:lvl w:ilvl="0" w:tplc="F98C03F6">
      <w:start w:val="1"/>
      <w:numFmt w:val="bullet"/>
      <w:pStyle w:val="31Subttulo1"/>
      <w:lvlText w:val="›"/>
      <w:lvlJc w:val="left"/>
      <w:pPr>
        <w:ind w:left="360" w:hanging="360"/>
      </w:pPr>
      <w:rPr>
        <w:rFonts w:ascii="Cambria" w:hAnsi="Cambria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B1B95"/>
    <w:multiLevelType w:val="hybridMultilevel"/>
    <w:tmpl w:val="30268E5E"/>
    <w:lvl w:ilvl="0" w:tplc="A604680C">
      <w:start w:val="1"/>
      <w:numFmt w:val="bullet"/>
      <w:pStyle w:val="Palabrasclave"/>
      <w:lvlText w:val="»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A8B"/>
    <w:rsid w:val="00061D6B"/>
    <w:rsid w:val="000F25EA"/>
    <w:rsid w:val="00166A48"/>
    <w:rsid w:val="001B6F5D"/>
    <w:rsid w:val="001C3540"/>
    <w:rsid w:val="00227E9F"/>
    <w:rsid w:val="00236B18"/>
    <w:rsid w:val="002D4041"/>
    <w:rsid w:val="003011DA"/>
    <w:rsid w:val="003161D8"/>
    <w:rsid w:val="003B5D89"/>
    <w:rsid w:val="003E27B9"/>
    <w:rsid w:val="0040700C"/>
    <w:rsid w:val="00440C08"/>
    <w:rsid w:val="00503430"/>
    <w:rsid w:val="00507C8A"/>
    <w:rsid w:val="00507E5A"/>
    <w:rsid w:val="005968D6"/>
    <w:rsid w:val="005C0FCA"/>
    <w:rsid w:val="005C752F"/>
    <w:rsid w:val="00616043"/>
    <w:rsid w:val="00653AB4"/>
    <w:rsid w:val="00657D80"/>
    <w:rsid w:val="006D5CA2"/>
    <w:rsid w:val="006E62A1"/>
    <w:rsid w:val="006F570C"/>
    <w:rsid w:val="00715038"/>
    <w:rsid w:val="0071627D"/>
    <w:rsid w:val="007B3312"/>
    <w:rsid w:val="007E33C7"/>
    <w:rsid w:val="008370BA"/>
    <w:rsid w:val="00866B29"/>
    <w:rsid w:val="008A6801"/>
    <w:rsid w:val="0094044B"/>
    <w:rsid w:val="00991A8B"/>
    <w:rsid w:val="00992E1C"/>
    <w:rsid w:val="009B4E58"/>
    <w:rsid w:val="009C6ED9"/>
    <w:rsid w:val="00A5275E"/>
    <w:rsid w:val="00A60766"/>
    <w:rsid w:val="00AD752C"/>
    <w:rsid w:val="00AF5948"/>
    <w:rsid w:val="00B726BF"/>
    <w:rsid w:val="00B77A91"/>
    <w:rsid w:val="00BB3866"/>
    <w:rsid w:val="00BD073B"/>
    <w:rsid w:val="00BF0039"/>
    <w:rsid w:val="00C27262"/>
    <w:rsid w:val="00CD495A"/>
    <w:rsid w:val="00D074FD"/>
    <w:rsid w:val="00D45590"/>
    <w:rsid w:val="00DC1FD5"/>
    <w:rsid w:val="00E72195"/>
    <w:rsid w:val="00EB295E"/>
    <w:rsid w:val="00EF649D"/>
    <w:rsid w:val="00F36533"/>
    <w:rsid w:val="00F8160B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1Subttulo1">
    <w:name w:val="3.1 / Subtítulo 1"/>
    <w:link w:val="31Subttulo1Char"/>
    <w:uiPriority w:val="99"/>
    <w:rsid w:val="00991A8B"/>
    <w:pPr>
      <w:numPr>
        <w:numId w:val="1"/>
      </w:numPr>
      <w:spacing w:before="480" w:after="240"/>
    </w:pPr>
    <w:rPr>
      <w:rFonts w:ascii="Arial" w:eastAsia="MS Mincho" w:hAnsi="Arial" w:cs="Times New Roman"/>
      <w:b/>
      <w:bCs/>
      <w:i/>
      <w:color w:val="000000"/>
      <w:sz w:val="28"/>
      <w:szCs w:val="28"/>
      <w:lang w:val="es-ES" w:eastAsia="pt-BR"/>
    </w:rPr>
  </w:style>
  <w:style w:type="character" w:customStyle="1" w:styleId="31Subttulo1Char">
    <w:name w:val="3.1 / Subtítulo 1 Char"/>
    <w:link w:val="31Subttulo1"/>
    <w:uiPriority w:val="99"/>
    <w:locked/>
    <w:rsid w:val="00991A8B"/>
    <w:rPr>
      <w:rFonts w:ascii="Arial" w:eastAsia="MS Mincho" w:hAnsi="Arial" w:cs="Times New Roman"/>
      <w:b/>
      <w:bCs/>
      <w:i/>
      <w:color w:val="000000"/>
      <w:sz w:val="28"/>
      <w:szCs w:val="28"/>
      <w:lang w:val="es-ES" w:eastAsia="pt-BR"/>
    </w:rPr>
  </w:style>
  <w:style w:type="paragraph" w:customStyle="1" w:styleId="1Ttulodeltrabajo">
    <w:name w:val="1 / Título del trabajo"/>
    <w:uiPriority w:val="99"/>
    <w:rsid w:val="00991A8B"/>
    <w:pPr>
      <w:pageBreakBefore/>
      <w:spacing w:after="240" w:line="240" w:lineRule="auto"/>
    </w:pPr>
    <w:rPr>
      <w:rFonts w:ascii="Arial" w:eastAsia="MS Mincho" w:hAnsi="Arial" w:cs="Times New Roman"/>
      <w:bCs/>
      <w:i/>
      <w:color w:val="C00000"/>
      <w:sz w:val="44"/>
      <w:szCs w:val="32"/>
      <w:lang w:val="es-AR" w:eastAsia="es-ES"/>
    </w:rPr>
  </w:style>
  <w:style w:type="paragraph" w:customStyle="1" w:styleId="2aAutordecaptulo">
    <w:name w:val="2.a / Autor de capítulo"/>
    <w:uiPriority w:val="99"/>
    <w:rsid w:val="00991A8B"/>
    <w:pPr>
      <w:widowControl w:val="0"/>
      <w:pBdr>
        <w:bottom w:val="dotted" w:sz="4" w:space="8" w:color="auto"/>
      </w:pBdr>
      <w:overflowPunct w:val="0"/>
      <w:adjustRightInd w:val="0"/>
      <w:spacing w:after="120" w:line="240" w:lineRule="auto"/>
      <w:ind w:left="14"/>
      <w:outlineLvl w:val="0"/>
    </w:pPr>
    <w:rPr>
      <w:rFonts w:ascii="Times New Roman" w:eastAsia="MS Mincho" w:hAnsi="Times New Roman" w:cs="Times New Roman"/>
      <w:i/>
      <w:iCs/>
      <w:kern w:val="28"/>
      <w:szCs w:val="28"/>
      <w:lang w:val="es-ES" w:eastAsia="es-AR"/>
    </w:rPr>
  </w:style>
  <w:style w:type="paragraph" w:customStyle="1" w:styleId="2bCitacomienzodecaptulo">
    <w:name w:val="2.b / Cita comienzo de capítulo"/>
    <w:uiPriority w:val="99"/>
    <w:rsid w:val="00991A8B"/>
    <w:pPr>
      <w:widowControl w:val="0"/>
      <w:pBdr>
        <w:bottom w:val="dotted" w:sz="4" w:space="8" w:color="auto"/>
      </w:pBdr>
      <w:spacing w:before="120" w:after="120" w:line="360" w:lineRule="auto"/>
      <w:ind w:firstLine="706"/>
      <w:jc w:val="right"/>
      <w:outlineLvl w:val="1"/>
    </w:pPr>
    <w:rPr>
      <w:rFonts w:ascii="Times New Roman" w:eastAsia="MS Mincho" w:hAnsi="Times New Roman" w:cs="Times New Roman"/>
      <w:i/>
      <w:sz w:val="20"/>
      <w:szCs w:val="20"/>
      <w:lang w:val="es-ES" w:eastAsia="es-ES"/>
    </w:rPr>
  </w:style>
  <w:style w:type="paragraph" w:customStyle="1" w:styleId="Palabrasclave">
    <w:name w:val="Palabras clave"/>
    <w:qFormat/>
    <w:rsid w:val="00991A8B"/>
    <w:pPr>
      <w:widowControl w:val="0"/>
      <w:numPr>
        <w:numId w:val="2"/>
      </w:numPr>
      <w:spacing w:after="360" w:line="360" w:lineRule="auto"/>
      <w:contextualSpacing/>
    </w:pPr>
    <w:rPr>
      <w:rFonts w:ascii="Times New Roman" w:eastAsia="Times New Roman" w:hAnsi="Times New Roman" w:cs="Times New Roman"/>
      <w:i/>
      <w:iCs/>
      <w:color w:val="404040"/>
      <w:lang w:val="es-ES"/>
    </w:rPr>
  </w:style>
  <w:style w:type="character" w:styleId="Hipervnculo">
    <w:name w:val="Hyperlink"/>
    <w:uiPriority w:val="99"/>
    <w:unhideWhenUsed/>
    <w:rsid w:val="00991A8B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91A8B"/>
    <w:rPr>
      <w:rFonts w:ascii="Calibri" w:eastAsia="Calibri" w:hAnsi="Calibr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91A8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991A8B"/>
    <w:rPr>
      <w:vertAlign w:val="superscript"/>
    </w:rPr>
  </w:style>
  <w:style w:type="paragraph" w:customStyle="1" w:styleId="35Subttulobibliobiografa">
    <w:name w:val="3.5 / Subtítulo biblio/bio/grafía"/>
    <w:basedOn w:val="Normal"/>
    <w:uiPriority w:val="99"/>
    <w:rsid w:val="00503430"/>
    <w:pPr>
      <w:pageBreakBefore/>
      <w:ind w:left="567" w:hanging="567"/>
    </w:pPr>
    <w:rPr>
      <w:rFonts w:eastAsia="MS Mincho"/>
      <w:b/>
      <w:bCs/>
      <w:sz w:val="28"/>
      <w:szCs w:val="2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/%20UESPI/UFPI/UBA/%20%20suelopes152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53D4-ECCB-4CD8-A31F-1BED4353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4294967269</TotalTime>
  <Pages>1</Pages>
  <Words>3423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Solange V</cp:lastModifiedBy>
  <cp:revision>15</cp:revision>
  <dcterms:created xsi:type="dcterms:W3CDTF">2019-01-16T23:42:00Z</dcterms:created>
  <dcterms:modified xsi:type="dcterms:W3CDTF">2019-04-16T15:59:00Z</dcterms:modified>
</cp:coreProperties>
</file>