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DF94" w14:textId="0E8B53A7" w:rsidR="004A4968" w:rsidRPr="007F599D" w:rsidRDefault="004A4968">
      <w:pPr>
        <w:widowControl w:val="0"/>
        <w:pBdr>
          <w:top w:val="nil"/>
          <w:left w:val="nil"/>
          <w:bottom w:val="nil"/>
          <w:right w:val="nil"/>
          <w:between w:val="nil"/>
        </w:pBdr>
        <w:spacing w:after="120"/>
        <w:ind w:left="14"/>
        <w:rPr>
          <w:rFonts w:ascii="Arial" w:eastAsia="Times New Roman" w:hAnsi="Arial" w:cs="Arial"/>
          <w:i/>
          <w:iCs/>
          <w:color w:val="C00000"/>
          <w:sz w:val="44"/>
          <w:szCs w:val="44"/>
        </w:rPr>
      </w:pPr>
      <w:r w:rsidRPr="004A4968">
        <w:rPr>
          <w:rFonts w:ascii="Arial" w:hAnsi="Arial" w:cs="Arial"/>
          <w:i/>
          <w:iCs/>
          <w:color w:val="C00000"/>
        </w:rPr>
        <w:t> </w:t>
      </w:r>
      <w:r w:rsidRPr="007F599D">
        <w:rPr>
          <w:rFonts w:ascii="Arial" w:hAnsi="Arial" w:cs="Arial"/>
          <w:i/>
          <w:iCs/>
          <w:color w:val="C00000"/>
          <w:sz w:val="44"/>
          <w:szCs w:val="44"/>
        </w:rPr>
        <w:t xml:space="preserve">Coreógrafos en serie: un debate sobre </w:t>
      </w:r>
      <w:r w:rsidR="007F599D">
        <w:rPr>
          <w:rFonts w:ascii="Arial" w:hAnsi="Arial" w:cs="Arial"/>
          <w:i/>
          <w:iCs/>
          <w:color w:val="C00000"/>
          <w:sz w:val="44"/>
          <w:szCs w:val="44"/>
        </w:rPr>
        <w:t>“</w:t>
      </w:r>
      <w:r w:rsidRPr="007F599D">
        <w:rPr>
          <w:rFonts w:ascii="Arial" w:hAnsi="Arial" w:cs="Arial"/>
          <w:i/>
          <w:iCs/>
          <w:color w:val="C00000"/>
          <w:sz w:val="44"/>
          <w:szCs w:val="44"/>
        </w:rPr>
        <w:t>Move</w:t>
      </w:r>
      <w:r w:rsidR="007F599D">
        <w:rPr>
          <w:rFonts w:ascii="Arial" w:hAnsi="Arial" w:cs="Arial"/>
          <w:i/>
          <w:iCs/>
          <w:color w:val="C00000"/>
          <w:sz w:val="44"/>
          <w:szCs w:val="44"/>
        </w:rPr>
        <w:t>”</w:t>
      </w:r>
    </w:p>
    <w:p w14:paraId="0A17BB53" w14:textId="77777777" w:rsidR="004A4968" w:rsidRDefault="004A4968">
      <w:pPr>
        <w:widowControl w:val="0"/>
        <w:pBdr>
          <w:top w:val="nil"/>
          <w:left w:val="nil"/>
          <w:bottom w:val="nil"/>
          <w:right w:val="nil"/>
          <w:between w:val="nil"/>
        </w:pBdr>
        <w:spacing w:after="120"/>
        <w:ind w:left="14"/>
        <w:rPr>
          <w:rFonts w:ascii="Times New Roman" w:eastAsia="Times New Roman" w:hAnsi="Times New Roman" w:cs="Times New Roman"/>
          <w:i/>
          <w:color w:val="000000"/>
          <w:sz w:val="22"/>
          <w:szCs w:val="22"/>
        </w:rPr>
      </w:pPr>
    </w:p>
    <w:p w14:paraId="00000002" w14:textId="4C26DDCC" w:rsidR="00B65A7B" w:rsidRDefault="00000000">
      <w:pPr>
        <w:widowControl w:val="0"/>
        <w:pBdr>
          <w:top w:val="nil"/>
          <w:left w:val="nil"/>
          <w:bottom w:val="nil"/>
          <w:right w:val="nil"/>
          <w:between w:val="nil"/>
        </w:pBdr>
        <w:spacing w:after="120"/>
        <w:ind w:left="14"/>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CADÚS, Eugenia; CLAVIN, </w:t>
      </w:r>
      <w:proofErr w:type="spellStart"/>
      <w:r>
        <w:rPr>
          <w:rFonts w:ascii="Times New Roman" w:eastAsia="Times New Roman" w:hAnsi="Times New Roman" w:cs="Times New Roman"/>
          <w:i/>
          <w:color w:val="000000"/>
          <w:sz w:val="22"/>
          <w:szCs w:val="22"/>
        </w:rPr>
        <w:t>Ayelen</w:t>
      </w:r>
      <w:proofErr w:type="spellEnd"/>
      <w:r>
        <w:rPr>
          <w:rFonts w:ascii="Times New Roman" w:eastAsia="Times New Roman" w:hAnsi="Times New Roman" w:cs="Times New Roman"/>
          <w:i/>
          <w:color w:val="000000"/>
          <w:sz w:val="22"/>
          <w:szCs w:val="22"/>
        </w:rPr>
        <w:t>; ARENAS ARCE, Belén; DE LA PUENTE, Irene; RYPKA, Sofía; PELLEGRINI, Ana / GEDAL</w:t>
      </w:r>
      <w:r>
        <w:rPr>
          <w:rFonts w:ascii="Times New Roman" w:eastAsia="Times New Roman" w:hAnsi="Times New Roman" w:cs="Times New Roman"/>
          <w:i/>
          <w:color w:val="000000"/>
          <w:sz w:val="22"/>
          <w:szCs w:val="22"/>
          <w:vertAlign w:val="superscript"/>
        </w:rPr>
        <w:footnoteReference w:id="1"/>
      </w:r>
      <w:r>
        <w:rPr>
          <w:rFonts w:ascii="Times New Roman" w:eastAsia="Times New Roman" w:hAnsi="Times New Roman" w:cs="Times New Roman"/>
          <w:i/>
          <w:color w:val="000000"/>
          <w:sz w:val="22"/>
          <w:szCs w:val="22"/>
        </w:rPr>
        <w:t>, UBA – gedal.uba@gmail.com</w:t>
      </w:r>
    </w:p>
    <w:p w14:paraId="00000003" w14:textId="77777777" w:rsidR="00B65A7B" w:rsidRDefault="00F453C0">
      <w:pPr>
        <w:widowControl w:val="0"/>
        <w:pBdr>
          <w:top w:val="nil"/>
          <w:left w:val="nil"/>
          <w:bottom w:val="nil"/>
          <w:right w:val="nil"/>
          <w:between w:val="nil"/>
        </w:pBdr>
        <w:spacing w:before="120" w:after="120" w:line="360" w:lineRule="auto"/>
        <w:ind w:firstLine="706"/>
        <w:jc w:val="right"/>
        <w:rPr>
          <w:rFonts w:ascii="Times New Roman" w:eastAsia="Times New Roman" w:hAnsi="Times New Roman" w:cs="Times New Roman"/>
          <w:i/>
          <w:color w:val="000000"/>
        </w:rPr>
      </w:pPr>
      <w:r>
        <w:rPr>
          <w:noProof/>
        </w:rPr>
        <w:pict w14:anchorId="388C5C10">
          <v:rect id="_x0000_i1026" alt="" style="width:441.9pt;height:.05pt;mso-width-percent:0;mso-height-percent:0;mso-width-percent:0;mso-height-percent:0" o:hralign="center" o:hrstd="t" o:hr="t" fillcolor="#a0a0a0" stroked="f"/>
        </w:pict>
      </w:r>
      <w:r w:rsidR="00DF3C23">
        <w:rPr>
          <w:rFonts w:ascii="Times New Roman" w:eastAsia="Times New Roman" w:hAnsi="Times New Roman" w:cs="Times New Roman"/>
          <w:i/>
          <w:color w:val="000000"/>
        </w:rPr>
        <w:t>Tipo de trabajo: mesa debate</w:t>
      </w:r>
    </w:p>
    <w:p w14:paraId="00000004" w14:textId="77777777" w:rsidR="00B65A7B" w:rsidRDefault="00F453C0" w:rsidP="00894B63">
      <w:pPr>
        <w:widowControl w:val="0"/>
        <w:pBdr>
          <w:top w:val="nil"/>
          <w:left w:val="nil"/>
          <w:bottom w:val="nil"/>
          <w:right w:val="nil"/>
          <w:between w:val="nil"/>
        </w:pBdr>
        <w:spacing w:line="360" w:lineRule="auto"/>
        <w:ind w:left="360"/>
      </w:pPr>
      <w:r>
        <w:rPr>
          <w:noProof/>
        </w:rPr>
        <w:pict w14:anchorId="3C4787A5">
          <v:rect id="_x0000_i1025" alt="" style="width:441.9pt;height:.05pt;mso-width-percent:0;mso-height-percent:0;mso-width-percent:0;mso-height-percent:0" o:hralign="center" o:hrstd="t" o:hr="t" fillcolor="#a0a0a0" stroked="f"/>
        </w:pict>
      </w:r>
      <w:r w:rsidR="00DF3C23">
        <w:rPr>
          <w:rFonts w:ascii="Times New Roman" w:eastAsia="Times New Roman" w:hAnsi="Times New Roman" w:cs="Times New Roman"/>
          <w:i/>
          <w:color w:val="404040"/>
          <w:sz w:val="22"/>
          <w:szCs w:val="22"/>
        </w:rPr>
        <w:t>Palabras claves: danza - representación – serie documental</w:t>
      </w:r>
    </w:p>
    <w:p w14:paraId="00000005" w14:textId="77777777" w:rsidR="00B65A7B" w:rsidRDefault="00000000">
      <w:pPr>
        <w:numPr>
          <w:ilvl w:val="0"/>
          <w:numId w:val="2"/>
        </w:numPr>
        <w:pBdr>
          <w:top w:val="nil"/>
          <w:left w:val="nil"/>
          <w:bottom w:val="nil"/>
          <w:right w:val="nil"/>
          <w:between w:val="nil"/>
        </w:pBdr>
        <w:spacing w:after="240" w:line="276" w:lineRule="auto"/>
      </w:pPr>
      <w:r>
        <w:rPr>
          <w:rFonts w:ascii="Arial" w:eastAsia="Arial" w:hAnsi="Arial" w:cs="Arial"/>
          <w:b/>
          <w:i/>
          <w:color w:val="000000"/>
          <w:sz w:val="28"/>
          <w:szCs w:val="28"/>
        </w:rPr>
        <w:t>Resumen</w:t>
      </w:r>
    </w:p>
    <w:p w14:paraId="00000006"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Nos interesa analizar la representación de la danza escénica en las pantallas, y en este caso, debatir alrededor de los tópicos generales que atraviesan la serie documental de Netflix, </w:t>
      </w:r>
      <w:proofErr w:type="spellStart"/>
      <w:r>
        <w:rPr>
          <w:rFonts w:ascii="Times New Roman" w:eastAsia="Times New Roman" w:hAnsi="Times New Roman" w:cs="Times New Roman"/>
          <w:i/>
          <w:color w:val="000000"/>
          <w:sz w:val="22"/>
          <w:szCs w:val="22"/>
        </w:rPr>
        <w:t>Move</w:t>
      </w:r>
      <w:proofErr w:type="spellEnd"/>
      <w:r>
        <w:rPr>
          <w:rFonts w:ascii="Times New Roman" w:eastAsia="Times New Roman" w:hAnsi="Times New Roman" w:cs="Times New Roman"/>
          <w:color w:val="000000"/>
          <w:sz w:val="22"/>
          <w:szCs w:val="22"/>
        </w:rPr>
        <w:t xml:space="preserve">. </w:t>
      </w:r>
    </w:p>
    <w:p w14:paraId="00000007"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Pretendemos analizar qué implicancias tienen los modos de representación que articulan el discurso uniforme de la plataforma. Algunos de los interrogantes que direccionan nuestro análisis son: qué nociones de coreografía plantea la serie, qué nociones de autor/a o </w:t>
      </w:r>
      <w:proofErr w:type="spellStart"/>
      <w:r>
        <w:rPr>
          <w:rFonts w:ascii="Times New Roman" w:eastAsia="Times New Roman" w:hAnsi="Times New Roman" w:cs="Times New Roman"/>
          <w:color w:val="000000"/>
          <w:sz w:val="22"/>
          <w:szCs w:val="22"/>
        </w:rPr>
        <w:t>coreógrafx</w:t>
      </w:r>
      <w:proofErr w:type="spellEnd"/>
      <w:r>
        <w:rPr>
          <w:rFonts w:ascii="Times New Roman" w:eastAsia="Times New Roman" w:hAnsi="Times New Roman" w:cs="Times New Roman"/>
          <w:color w:val="000000"/>
          <w:sz w:val="22"/>
          <w:szCs w:val="22"/>
        </w:rPr>
        <w:t>, cómo se representan las trayectorias de cada artista y su consagración. Para abordar finalmente la pregunta acerca de qué definición de danza subyace en la serie.</w:t>
      </w:r>
    </w:p>
    <w:p w14:paraId="00000008" w14:textId="77777777" w:rsidR="00B65A7B" w:rsidRDefault="00000000">
      <w:pPr>
        <w:numPr>
          <w:ilvl w:val="0"/>
          <w:numId w:val="2"/>
        </w:numPr>
        <w:pBdr>
          <w:top w:val="nil"/>
          <w:left w:val="nil"/>
          <w:bottom w:val="nil"/>
          <w:right w:val="nil"/>
          <w:between w:val="nil"/>
        </w:pBdr>
        <w:spacing w:before="480" w:after="240" w:line="276" w:lineRule="auto"/>
      </w:pPr>
      <w:r>
        <w:rPr>
          <w:rFonts w:ascii="Arial" w:eastAsia="Arial" w:hAnsi="Arial" w:cs="Arial"/>
          <w:b/>
          <w:i/>
          <w:color w:val="000000"/>
          <w:sz w:val="28"/>
          <w:szCs w:val="28"/>
        </w:rPr>
        <w:t>Introducción</w:t>
      </w:r>
    </w:p>
    <w:p w14:paraId="00000009"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Desde hace unos años el </w:t>
      </w:r>
      <w:proofErr w:type="spellStart"/>
      <w:r>
        <w:rPr>
          <w:rFonts w:ascii="Times New Roman" w:eastAsia="Times New Roman" w:hAnsi="Times New Roman" w:cs="Times New Roman"/>
          <w:i/>
          <w:sz w:val="22"/>
          <w:szCs w:val="22"/>
        </w:rPr>
        <w:t>streaming</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se ha transformado en un modo más de producción y consumo de danza, lo cual se ha visto agudizado por la pandemia del COVID-19 y la dificultad e incluso imposibilidad de realizar funciones u otro tipo de actividades presenciales. La presente exposición propone debatir alrededor de los tópicos generales que atraviesan la serie documental de Netflix </w:t>
      </w: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sz w:val="22"/>
          <w:szCs w:val="22"/>
        </w:rPr>
        <w:t xml:space="preserve">. Pretendemos analizar qué implicancias tienen los modos de representación que articulan el discurso uniforme de la plataforma. ¿Qué nociones de coreografía plantea la serie? ¿Qué nociones de autor/a o </w:t>
      </w:r>
      <w:proofErr w:type="spellStart"/>
      <w:r>
        <w:rPr>
          <w:rFonts w:ascii="Times New Roman" w:eastAsia="Times New Roman" w:hAnsi="Times New Roman" w:cs="Times New Roman"/>
          <w:sz w:val="22"/>
          <w:szCs w:val="22"/>
        </w:rPr>
        <w:t>coreógrafx</w:t>
      </w:r>
      <w:proofErr w:type="spellEnd"/>
      <w:r>
        <w:rPr>
          <w:rFonts w:ascii="Times New Roman" w:eastAsia="Times New Roman" w:hAnsi="Times New Roman" w:cs="Times New Roman"/>
          <w:sz w:val="22"/>
          <w:szCs w:val="22"/>
        </w:rPr>
        <w:t xml:space="preserve">? ¿Cómo se representan las trayectorias de cada artista y su consagración? Metodológicamente, apuntamos a contrarrestar el proyecto homogeneizador de la serie a través del análisis específico de cada capítulo y cada poética en particular. A partir de estas preguntas indagamos en la noción de identidad en múltiples sentidos: nacional, idiomática, como tradición, como linaje dancístico y genealógico en términos biológicos (la familia como núcleo </w:t>
      </w:r>
      <w:r>
        <w:rPr>
          <w:rFonts w:ascii="Times New Roman" w:eastAsia="Times New Roman" w:hAnsi="Times New Roman" w:cs="Times New Roman"/>
          <w:sz w:val="22"/>
          <w:szCs w:val="22"/>
        </w:rPr>
        <w:lastRenderedPageBreak/>
        <w:t xml:space="preserve">originario). Asimismo, exploramos las ideas de arte popular y de élite implícitas en el discurso de </w:t>
      </w: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sz w:val="22"/>
          <w:szCs w:val="22"/>
        </w:rPr>
        <w:t>, para intentar reflexionar acerca de qué definición de danza subyace en la serie. En este sentido, nos preguntamos,  ¿por qué los diferentes capítulos dan definiciones de las distintas danzas populares que abordan, pero nunca de “danza contemporánea”?</w:t>
      </w:r>
    </w:p>
    <w:p w14:paraId="0000000A"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danza ha formado parte de las pantallas desde siempre. Pensemos a modo de ejemplo, en las cintas de la </w:t>
      </w:r>
      <w:r>
        <w:rPr>
          <w:rFonts w:ascii="Times New Roman" w:eastAsia="Times New Roman" w:hAnsi="Times New Roman" w:cs="Times New Roman"/>
          <w:i/>
          <w:sz w:val="22"/>
          <w:szCs w:val="22"/>
        </w:rPr>
        <w:t>Danza de la serpentina</w:t>
      </w:r>
      <w:r>
        <w:rPr>
          <w:rFonts w:ascii="Times New Roman" w:eastAsia="Times New Roman" w:hAnsi="Times New Roman" w:cs="Times New Roman"/>
          <w:sz w:val="22"/>
          <w:szCs w:val="22"/>
        </w:rPr>
        <w:t xml:space="preserve"> (1895) de </w:t>
      </w:r>
      <w:proofErr w:type="spellStart"/>
      <w:r>
        <w:rPr>
          <w:rFonts w:ascii="Times New Roman" w:eastAsia="Times New Roman" w:hAnsi="Times New Roman" w:cs="Times New Roman"/>
          <w:sz w:val="22"/>
          <w:szCs w:val="22"/>
        </w:rPr>
        <w:t>Loie</w:t>
      </w:r>
      <w:proofErr w:type="spellEnd"/>
      <w:r>
        <w:rPr>
          <w:rFonts w:ascii="Times New Roman" w:eastAsia="Times New Roman" w:hAnsi="Times New Roman" w:cs="Times New Roman"/>
          <w:sz w:val="22"/>
          <w:szCs w:val="22"/>
        </w:rPr>
        <w:t xml:space="preserve"> Fuller filmada por Edison y en lo coreográfico de </w:t>
      </w:r>
      <w:r>
        <w:rPr>
          <w:rFonts w:ascii="Times New Roman" w:eastAsia="Times New Roman" w:hAnsi="Times New Roman" w:cs="Times New Roman"/>
          <w:i/>
          <w:sz w:val="22"/>
          <w:szCs w:val="22"/>
        </w:rPr>
        <w:t>La salida de los obreros de la fábrica</w:t>
      </w:r>
      <w:r>
        <w:rPr>
          <w:rFonts w:ascii="Times New Roman" w:eastAsia="Times New Roman" w:hAnsi="Times New Roman" w:cs="Times New Roman"/>
          <w:sz w:val="22"/>
          <w:szCs w:val="22"/>
        </w:rPr>
        <w:t xml:space="preserve"> (1895) de los </w:t>
      </w:r>
      <w:proofErr w:type="spellStart"/>
      <w:r>
        <w:rPr>
          <w:rFonts w:ascii="Times New Roman" w:eastAsia="Times New Roman" w:hAnsi="Times New Roman" w:cs="Times New Roman"/>
          <w:sz w:val="22"/>
          <w:szCs w:val="22"/>
        </w:rPr>
        <w:t>Lumiére</w:t>
      </w:r>
      <w:proofErr w:type="spellEnd"/>
      <w:r>
        <w:rPr>
          <w:rFonts w:ascii="Times New Roman" w:eastAsia="Times New Roman" w:hAnsi="Times New Roman" w:cs="Times New Roman"/>
          <w:sz w:val="22"/>
          <w:szCs w:val="22"/>
        </w:rPr>
        <w:t xml:space="preserve">. Pero más allá de estas manifestaciones iniciales, y pensando en el cine de ficción, narrativo y sonoro, la danza continuó formando parte de la gran pantalla en numerosas producciones, pasando luego a formar parte de la televisión y de las series. </w:t>
      </w:r>
    </w:p>
    <w:p w14:paraId="0000000B"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En términos generales, nos interesa analizar la representación de la danza escénica en las pantallas asumiendo que esta refleja cierta práctica de lectura del momento y cierta estructura de sentimiento (Williams, 2012)</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 Existe un “imaginario social”</w:t>
      </w:r>
      <w:r>
        <w:rPr>
          <w:rFonts w:ascii="Times New Roman" w:eastAsia="Times New Roman" w:hAnsi="Times New Roman" w:cs="Times New Roman"/>
          <w:sz w:val="22"/>
          <w:szCs w:val="22"/>
          <w:vertAlign w:val="superscript"/>
        </w:rPr>
        <w:footnoteReference w:id="3"/>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Baczko</w:t>
      </w:r>
      <w:proofErr w:type="spellEnd"/>
      <w:r>
        <w:rPr>
          <w:rFonts w:ascii="Times New Roman" w:eastAsia="Times New Roman" w:hAnsi="Times New Roman" w:cs="Times New Roman"/>
          <w:sz w:val="22"/>
          <w:szCs w:val="22"/>
        </w:rPr>
        <w:t>, 1991) –diferente en cada época y en cada clase social– de lo que la práctica de la danza es. Este imaginario estaría puesto en juego en las representaciones, sea reafirmándolo o criticándolo.</w:t>
      </w:r>
    </w:p>
    <w:p w14:paraId="0000000C"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En un contexto de cultura de masas, que caracteriza el desarrollo cultural del capitalismo, y que es aquella producida por medios técnicos y pensada para un público cuantioso (Zubieta, 2004; Martín-Barbero, 1987), se produce una mayor difusión y consumo de la práctica de la danza. Así, hoy en día, la danza forma parte también de las plataformas como Netflix. Es acá donde aparece </w:t>
      </w: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o</w:t>
      </w:r>
      <w:r>
        <w:rPr>
          <w:rFonts w:ascii="Times New Roman" w:eastAsia="Times New Roman" w:hAnsi="Times New Roman" w:cs="Times New Roman"/>
          <w:i/>
          <w:sz w:val="22"/>
          <w:szCs w:val="22"/>
        </w:rPr>
        <w:t xml:space="preserve"> En movimiento</w:t>
      </w:r>
      <w:r>
        <w:rPr>
          <w:rFonts w:ascii="Times New Roman" w:eastAsia="Times New Roman" w:hAnsi="Times New Roman" w:cs="Times New Roman"/>
          <w:sz w:val="22"/>
          <w:szCs w:val="22"/>
        </w:rPr>
        <w:t xml:space="preserve"> de los directores Alban </w:t>
      </w:r>
      <w:proofErr w:type="spellStart"/>
      <w:r>
        <w:rPr>
          <w:rFonts w:ascii="Times New Roman" w:eastAsia="Times New Roman" w:hAnsi="Times New Roman" w:cs="Times New Roman"/>
          <w:sz w:val="22"/>
          <w:szCs w:val="22"/>
        </w:rPr>
        <w:t>Teurlai</w:t>
      </w:r>
      <w:proofErr w:type="spellEnd"/>
      <w:r>
        <w:rPr>
          <w:rFonts w:ascii="Times New Roman" w:eastAsia="Times New Roman" w:hAnsi="Times New Roman" w:cs="Times New Roman"/>
          <w:sz w:val="22"/>
          <w:szCs w:val="22"/>
        </w:rPr>
        <w:t xml:space="preserve"> y Thierry </w:t>
      </w:r>
      <w:proofErr w:type="spellStart"/>
      <w:r>
        <w:rPr>
          <w:rFonts w:ascii="Times New Roman" w:eastAsia="Times New Roman" w:hAnsi="Times New Roman" w:cs="Times New Roman"/>
          <w:sz w:val="22"/>
          <w:szCs w:val="22"/>
        </w:rPr>
        <w:t>Demaizière</w:t>
      </w:r>
      <w:proofErr w:type="spellEnd"/>
      <w:r>
        <w:rPr>
          <w:rFonts w:ascii="Times New Roman" w:eastAsia="Times New Roman" w:hAnsi="Times New Roman" w:cs="Times New Roman"/>
          <w:sz w:val="22"/>
          <w:szCs w:val="22"/>
        </w:rPr>
        <w:t>, quienes en 2015 habían realizado el documental</w:t>
      </w:r>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Relève</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Histoire</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d'une</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création</w:t>
      </w:r>
      <w:proofErr w:type="spellEnd"/>
      <w:r>
        <w:rPr>
          <w:rFonts w:ascii="Times New Roman" w:eastAsia="Times New Roman" w:hAnsi="Times New Roman" w:cs="Times New Roman"/>
          <w:sz w:val="22"/>
          <w:szCs w:val="22"/>
        </w:rPr>
        <w:t xml:space="preserve"> sobre </w:t>
      </w:r>
      <w:proofErr w:type="spellStart"/>
      <w:r>
        <w:rPr>
          <w:rFonts w:ascii="Times New Roman" w:eastAsia="Times New Roman" w:hAnsi="Times New Roman" w:cs="Times New Roman"/>
          <w:sz w:val="22"/>
          <w:szCs w:val="22"/>
        </w:rPr>
        <w:t>Benjamin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Millepied</w:t>
      </w:r>
      <w:proofErr w:type="spellEnd"/>
      <w:r>
        <w:rPr>
          <w:rFonts w:ascii="Times New Roman" w:eastAsia="Times New Roman" w:hAnsi="Times New Roman" w:cs="Times New Roman"/>
          <w:sz w:val="22"/>
          <w:szCs w:val="22"/>
        </w:rPr>
        <w:t xml:space="preserve"> coreógrafo de </w:t>
      </w:r>
      <w:r>
        <w:rPr>
          <w:rFonts w:ascii="Times New Roman" w:eastAsia="Times New Roman" w:hAnsi="Times New Roman" w:cs="Times New Roman"/>
          <w:i/>
          <w:sz w:val="22"/>
          <w:szCs w:val="22"/>
        </w:rPr>
        <w:t xml:space="preserve">El cisne negro. </w:t>
      </w:r>
    </w:p>
    <w:p w14:paraId="0000000D"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 embargo, </w:t>
      </w: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no parece ser una serie sobre danza, a pesar de que intenta desesperadamente definirla (reflexionando sobre la danza como arte, vinculando danza y sociedad, entendiendo la danza como acto íntimo, pensándola como modo de ganar dinero y de estar saludable, etc.). Más bien la serie se concentra en una narrativa sentimental, resaltada por la banda sonora, la relación filial –específicamente entre madres e </w:t>
      </w:r>
      <w:proofErr w:type="spellStart"/>
      <w:r>
        <w:rPr>
          <w:rFonts w:ascii="Times New Roman" w:eastAsia="Times New Roman" w:hAnsi="Times New Roman" w:cs="Times New Roman"/>
          <w:sz w:val="22"/>
          <w:szCs w:val="22"/>
        </w:rPr>
        <w:t>hijxs</w:t>
      </w:r>
      <w:proofErr w:type="spellEnd"/>
      <w:r>
        <w:rPr>
          <w:rFonts w:ascii="Times New Roman" w:eastAsia="Times New Roman" w:hAnsi="Times New Roman" w:cs="Times New Roman"/>
          <w:sz w:val="22"/>
          <w:szCs w:val="22"/>
        </w:rPr>
        <w:t xml:space="preserve">– que organiza el relato biográfico, primeros planos cerrados, etc. Esta narrativa refuerza un canon de la danza escénica (culto vs. popular) y apoya la idea de la danza como aquello inasible e indecible, ya que aunque se encuentra en un medio de consumo popular, la danza pareciera ser para </w:t>
      </w:r>
      <w:proofErr w:type="spellStart"/>
      <w:r>
        <w:rPr>
          <w:rFonts w:ascii="Times New Roman" w:eastAsia="Times New Roman" w:hAnsi="Times New Roman" w:cs="Times New Roman"/>
          <w:sz w:val="22"/>
          <w:szCs w:val="22"/>
        </w:rPr>
        <w:t>unxs</w:t>
      </w:r>
      <w:proofErr w:type="spellEnd"/>
      <w:r>
        <w:rPr>
          <w:rFonts w:ascii="Times New Roman" w:eastAsia="Times New Roman" w:hAnsi="Times New Roman" w:cs="Times New Roman"/>
          <w:sz w:val="22"/>
          <w:szCs w:val="22"/>
        </w:rPr>
        <w:t xml:space="preserve"> pocos –genios– devotos a su arte cuyo impulso podría encontrarse por fuera de motivaciones terrenales explicables.  En este sentido, llama la atención el poco espacio dedicado en la serie, que nos permita observar y analizar la </w:t>
      </w:r>
      <w:r>
        <w:rPr>
          <w:rFonts w:ascii="Times New Roman" w:eastAsia="Times New Roman" w:hAnsi="Times New Roman" w:cs="Times New Roman"/>
          <w:sz w:val="22"/>
          <w:szCs w:val="22"/>
        </w:rPr>
        <w:lastRenderedPageBreak/>
        <w:t xml:space="preserve">danza en sí. De hecho, cada vez que bailan, la cámara hace recorridos </w:t>
      </w:r>
      <w:proofErr w:type="spellStart"/>
      <w:r>
        <w:rPr>
          <w:rFonts w:ascii="Times New Roman" w:eastAsia="Times New Roman" w:hAnsi="Times New Roman" w:cs="Times New Roman"/>
          <w:sz w:val="22"/>
          <w:szCs w:val="22"/>
        </w:rPr>
        <w:t>voyeuristas</w:t>
      </w:r>
      <w:proofErr w:type="spellEnd"/>
      <w:r>
        <w:rPr>
          <w:rFonts w:ascii="Times New Roman" w:eastAsia="Times New Roman" w:hAnsi="Times New Roman" w:cs="Times New Roman"/>
          <w:sz w:val="22"/>
          <w:szCs w:val="22"/>
        </w:rPr>
        <w:t xml:space="preserve"> y planos detalle que fragmentan, que cosifican los cuerpos y también a sus protagonistas. </w:t>
      </w:r>
    </w:p>
    <w:p w14:paraId="0000000E"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tampoco es una serie sobre </w:t>
      </w:r>
      <w:proofErr w:type="spellStart"/>
      <w:r>
        <w:rPr>
          <w:rFonts w:ascii="Times New Roman" w:eastAsia="Times New Roman" w:hAnsi="Times New Roman" w:cs="Times New Roman"/>
          <w:sz w:val="22"/>
          <w:szCs w:val="22"/>
        </w:rPr>
        <w:t>coreógrafxs</w:t>
      </w:r>
      <w:proofErr w:type="spellEnd"/>
      <w:r>
        <w:rPr>
          <w:rFonts w:ascii="Times New Roman" w:eastAsia="Times New Roman" w:hAnsi="Times New Roman" w:cs="Times New Roman"/>
          <w:sz w:val="22"/>
          <w:szCs w:val="22"/>
        </w:rPr>
        <w:t xml:space="preserve">, aunque así intenta definirse. Ya que no aborda la complejidad de cada </w:t>
      </w:r>
      <w:proofErr w:type="spellStart"/>
      <w:r>
        <w:rPr>
          <w:rFonts w:ascii="Times New Roman" w:eastAsia="Times New Roman" w:hAnsi="Times New Roman" w:cs="Times New Roman"/>
          <w:sz w:val="22"/>
          <w:szCs w:val="22"/>
        </w:rPr>
        <w:t>unx</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estxs</w:t>
      </w:r>
      <w:proofErr w:type="spellEnd"/>
      <w:r>
        <w:rPr>
          <w:rFonts w:ascii="Times New Roman" w:eastAsia="Times New Roman" w:hAnsi="Times New Roman" w:cs="Times New Roman"/>
          <w:sz w:val="22"/>
          <w:szCs w:val="22"/>
        </w:rPr>
        <w:t xml:space="preserve"> artistas. Por el contrario, se estructura una narrativa épica (centrada en la valentía y la libertad, en la configuración de héroes) de movilidad social en la que la danza es la salvación. Lo cual puede observarse en frases expresadas en la serie, como: “nacido para bailar”, “siempre bailé” o “destinado a bailar”.</w:t>
      </w:r>
    </w:p>
    <w:p w14:paraId="0000000F"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este relato aparece la familia para aportar una parte de “tradición”, de conexión con el mundo terrenal y popular. Pero </w:t>
      </w:r>
      <w:proofErr w:type="spellStart"/>
      <w:r>
        <w:rPr>
          <w:rFonts w:ascii="Times New Roman" w:eastAsia="Times New Roman" w:hAnsi="Times New Roman" w:cs="Times New Roman"/>
          <w:sz w:val="22"/>
          <w:szCs w:val="22"/>
        </w:rPr>
        <w:t>estxs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coreógrafxs</w:t>
      </w:r>
      <w:proofErr w:type="spellEnd"/>
      <w:r>
        <w:rPr>
          <w:rFonts w:ascii="Times New Roman" w:eastAsia="Times New Roman" w:hAnsi="Times New Roman" w:cs="Times New Roman"/>
          <w:sz w:val="22"/>
          <w:szCs w:val="22"/>
        </w:rPr>
        <w:t xml:space="preserve"> dan el salto cuando se alejan de ello. “Constituirse en un mundo radicalmente distinto del de sus padres” dice Pedro Romero, director artístico de Israel Galván, en el capítulo tres de la serie. De este modo, se configura una constante oposición entre el mundo culto (la danza como Arte) y las culturas populares (la danza social, folklórica, ritual, comercial, etc.).</w:t>
      </w:r>
    </w:p>
    <w:p w14:paraId="00000010"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En este sentido, la serie muestra distintos espacios de legitimación. Bien definidos en el caso de lo popular: la calle, los concursos, las batallas, la comunidad. Pero no así en el caso del “arte”. Elude definir al mercado global de la danza contemporánea (</w:t>
      </w:r>
      <w:proofErr w:type="spellStart"/>
      <w:r>
        <w:rPr>
          <w:rFonts w:ascii="Times New Roman" w:eastAsia="Times New Roman" w:hAnsi="Times New Roman" w:cs="Times New Roman"/>
          <w:sz w:val="22"/>
          <w:szCs w:val="22"/>
        </w:rPr>
        <w:t>Chatterjea</w:t>
      </w:r>
      <w:proofErr w:type="spellEnd"/>
      <w:r>
        <w:rPr>
          <w:rFonts w:ascii="Times New Roman" w:eastAsia="Times New Roman" w:hAnsi="Times New Roman" w:cs="Times New Roman"/>
          <w:sz w:val="22"/>
          <w:szCs w:val="22"/>
        </w:rPr>
        <w:t>, 2020) y sus lógicas para mantener su status en el canon. De este modo, la serie perpetúa un relato universalista de la danza escénica y en particular de la llamada danza contemporánea.</w:t>
      </w:r>
    </w:p>
    <w:p w14:paraId="00000011"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obstante, se observan distintos vínculos con la danza académica, que podríamos resumir en los siguientes tópicos referentes a cada capítulo:</w:t>
      </w:r>
    </w:p>
    <w:p w14:paraId="00000012" w14:textId="77777777" w:rsidR="00B65A7B" w:rsidRDefault="00B65A7B">
      <w:pPr>
        <w:pBdr>
          <w:top w:val="nil"/>
          <w:left w:val="nil"/>
          <w:bottom w:val="nil"/>
          <w:right w:val="nil"/>
          <w:between w:val="nil"/>
        </w:pBdr>
        <w:spacing w:line="360" w:lineRule="auto"/>
        <w:jc w:val="both"/>
        <w:rPr>
          <w:rFonts w:ascii="Times New Roman" w:eastAsia="Times New Roman" w:hAnsi="Times New Roman" w:cs="Times New Roman"/>
          <w:sz w:val="22"/>
          <w:szCs w:val="22"/>
        </w:rPr>
      </w:pPr>
    </w:p>
    <w:p w14:paraId="00000013"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Pr>
          <w:rFonts w:ascii="Times New Roman" w:eastAsia="Times New Roman" w:hAnsi="Times New Roman" w:cs="Times New Roman"/>
          <w:i/>
          <w:sz w:val="22"/>
          <w:szCs w:val="22"/>
        </w:rPr>
        <w:t>Ballet:</w:t>
      </w:r>
      <w:r>
        <w:rPr>
          <w:rFonts w:ascii="Times New Roman" w:eastAsia="Times New Roman" w:hAnsi="Times New Roman" w:cs="Times New Roman"/>
          <w:sz w:val="22"/>
          <w:szCs w:val="22"/>
        </w:rPr>
        <w:t xml:space="preserve"> Elegancia, homosexualidad.</w:t>
      </w:r>
    </w:p>
    <w:p w14:paraId="00000014"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eastAsia="Times New Roman" w:hAnsi="Times New Roman" w:cs="Times New Roman"/>
          <w:i/>
          <w:sz w:val="22"/>
          <w:szCs w:val="22"/>
        </w:rPr>
        <w:t>Ballet:</w:t>
      </w:r>
      <w:r>
        <w:rPr>
          <w:rFonts w:ascii="Times New Roman" w:eastAsia="Times New Roman" w:hAnsi="Times New Roman" w:cs="Times New Roman"/>
          <w:sz w:val="22"/>
          <w:szCs w:val="22"/>
        </w:rPr>
        <w:t xml:space="preserve"> relación de oposición.</w:t>
      </w:r>
    </w:p>
    <w:p w14:paraId="00000015"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Pr>
          <w:rFonts w:ascii="Times New Roman" w:eastAsia="Times New Roman" w:hAnsi="Times New Roman" w:cs="Times New Roman"/>
          <w:i/>
          <w:sz w:val="22"/>
          <w:szCs w:val="22"/>
        </w:rPr>
        <w:t>Ballet.</w:t>
      </w:r>
      <w:r>
        <w:rPr>
          <w:rFonts w:ascii="Times New Roman" w:eastAsia="Times New Roman" w:hAnsi="Times New Roman" w:cs="Times New Roman"/>
          <w:sz w:val="22"/>
          <w:szCs w:val="22"/>
        </w:rPr>
        <w:t xml:space="preserve"> Modernidad. Por ejemplo, vemos la </w:t>
      </w:r>
      <w:r>
        <w:rPr>
          <w:rFonts w:ascii="Times New Roman" w:eastAsia="Times New Roman" w:hAnsi="Times New Roman" w:cs="Times New Roman"/>
          <w:i/>
          <w:sz w:val="22"/>
          <w:szCs w:val="22"/>
        </w:rPr>
        <w:t>Consagración de la primavera</w:t>
      </w:r>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Nijinsky</w:t>
      </w:r>
      <w:proofErr w:type="spellEnd"/>
      <w:r>
        <w:rPr>
          <w:rFonts w:ascii="Times New Roman" w:eastAsia="Times New Roman" w:hAnsi="Times New Roman" w:cs="Times New Roman"/>
          <w:sz w:val="22"/>
          <w:szCs w:val="22"/>
        </w:rPr>
        <w:t xml:space="preserve"> y a Israel Galván “</w:t>
      </w:r>
      <w:proofErr w:type="spellStart"/>
      <w:r>
        <w:rPr>
          <w:rFonts w:ascii="Times New Roman" w:eastAsia="Times New Roman" w:hAnsi="Times New Roman" w:cs="Times New Roman"/>
          <w:sz w:val="22"/>
          <w:szCs w:val="22"/>
        </w:rPr>
        <w:t>flamenquizándola</w:t>
      </w:r>
      <w:proofErr w:type="spellEnd"/>
      <w:r>
        <w:rPr>
          <w:rFonts w:ascii="Times New Roman" w:eastAsia="Times New Roman" w:hAnsi="Times New Roman" w:cs="Times New Roman"/>
          <w:sz w:val="22"/>
          <w:szCs w:val="22"/>
        </w:rPr>
        <w:t>”.</w:t>
      </w:r>
    </w:p>
    <w:p w14:paraId="00000016"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Danza Moderna. La danza en la Universidad. Por ejemplo, la maestra </w:t>
      </w:r>
      <w:proofErr w:type="spellStart"/>
      <w:r>
        <w:rPr>
          <w:rFonts w:ascii="Times New Roman" w:eastAsia="Times New Roman" w:hAnsi="Times New Roman" w:cs="Times New Roman"/>
          <w:sz w:val="22"/>
          <w:szCs w:val="22"/>
        </w:rPr>
        <w:t>L´Antoinette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Stines</w:t>
      </w:r>
      <w:proofErr w:type="spellEnd"/>
      <w:r>
        <w:rPr>
          <w:rFonts w:ascii="Times New Roman" w:eastAsia="Times New Roman" w:hAnsi="Times New Roman" w:cs="Times New Roman"/>
          <w:sz w:val="22"/>
          <w:szCs w:val="22"/>
        </w:rPr>
        <w:t xml:space="preserve"> habla de escenificar el </w:t>
      </w:r>
      <w:proofErr w:type="spellStart"/>
      <w:r>
        <w:rPr>
          <w:rFonts w:ascii="Times New Roman" w:eastAsia="Times New Roman" w:hAnsi="Times New Roman" w:cs="Times New Roman"/>
          <w:i/>
          <w:sz w:val="22"/>
          <w:szCs w:val="22"/>
        </w:rPr>
        <w:t>dancehall</w:t>
      </w:r>
      <w:proofErr w:type="spellEnd"/>
      <w:r>
        <w:rPr>
          <w:rFonts w:ascii="Times New Roman" w:eastAsia="Times New Roman" w:hAnsi="Times New Roman" w:cs="Times New Roman"/>
          <w:sz w:val="22"/>
          <w:szCs w:val="22"/>
        </w:rPr>
        <w:t xml:space="preserve"> mientras muestran fotografías de ella bailando danza moderna.</w:t>
      </w:r>
    </w:p>
    <w:p w14:paraId="00000017" w14:textId="77777777" w:rsidR="00B65A7B" w:rsidRDefault="00000000">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Danza contemporánea.</w:t>
      </w:r>
    </w:p>
    <w:p w14:paraId="00000018" w14:textId="77777777" w:rsidR="00B65A7B" w:rsidRDefault="00B65A7B">
      <w:pPr>
        <w:pBdr>
          <w:top w:val="nil"/>
          <w:left w:val="nil"/>
          <w:bottom w:val="nil"/>
          <w:right w:val="nil"/>
          <w:between w:val="nil"/>
        </w:pBdr>
        <w:spacing w:line="360" w:lineRule="auto"/>
        <w:jc w:val="both"/>
        <w:rPr>
          <w:rFonts w:ascii="Times New Roman" w:eastAsia="Times New Roman" w:hAnsi="Times New Roman" w:cs="Times New Roman"/>
          <w:sz w:val="22"/>
          <w:szCs w:val="22"/>
        </w:rPr>
      </w:pPr>
    </w:p>
    <w:p w14:paraId="00000019" w14:textId="77777777" w:rsidR="00B65A7B" w:rsidRDefault="00000000">
      <w:pPr>
        <w:pBdr>
          <w:top w:val="nil"/>
          <w:left w:val="nil"/>
          <w:bottom w:val="nil"/>
          <w:right w:val="nil"/>
          <w:between w:val="nil"/>
        </w:pBdr>
        <w:spacing w:line="360" w:lineRule="auto"/>
        <w:jc w:val="both"/>
        <w:rPr>
          <w:rFonts w:ascii="Arial" w:eastAsia="Arial" w:hAnsi="Arial" w:cs="Arial"/>
          <w:b/>
          <w:i/>
          <w:sz w:val="28"/>
          <w:szCs w:val="28"/>
        </w:rPr>
      </w:pPr>
      <w:r>
        <w:rPr>
          <w:rFonts w:ascii="Times New Roman" w:eastAsia="Times New Roman" w:hAnsi="Times New Roman" w:cs="Times New Roman"/>
          <w:sz w:val="22"/>
          <w:szCs w:val="22"/>
        </w:rPr>
        <w:t xml:space="preserve">Así se termina homogeneizando estas experiencias y eludiendo algunos aspectos centrales de </w:t>
      </w:r>
      <w:proofErr w:type="spellStart"/>
      <w:r>
        <w:rPr>
          <w:rFonts w:ascii="Times New Roman" w:eastAsia="Times New Roman" w:hAnsi="Times New Roman" w:cs="Times New Roman"/>
          <w:sz w:val="22"/>
          <w:szCs w:val="22"/>
        </w:rPr>
        <w:t>estxs</w:t>
      </w:r>
      <w:proofErr w:type="spellEnd"/>
      <w:r>
        <w:rPr>
          <w:rFonts w:ascii="Times New Roman" w:eastAsia="Times New Roman" w:hAnsi="Times New Roman" w:cs="Times New Roman"/>
          <w:sz w:val="22"/>
          <w:szCs w:val="22"/>
        </w:rPr>
        <w:t xml:space="preserve"> artistas tales como su vínculo con la política, con la identidad (nacional, de género, de raza), con lo local y lo global, con el trabajo y la economía, e incluso sus concepciones de arte y de danza. Por eso a continuación, vamos a hablar un poco de cada capítulo, con la idea de profundizar en estas representaciones, así como en </w:t>
      </w:r>
      <w:proofErr w:type="spellStart"/>
      <w:r>
        <w:rPr>
          <w:rFonts w:ascii="Times New Roman" w:eastAsia="Times New Roman" w:hAnsi="Times New Roman" w:cs="Times New Roman"/>
          <w:sz w:val="22"/>
          <w:szCs w:val="22"/>
        </w:rPr>
        <w:t>estxs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coreógrafxs</w:t>
      </w:r>
      <w:proofErr w:type="spellEnd"/>
      <w:r>
        <w:rPr>
          <w:rFonts w:ascii="Times New Roman" w:eastAsia="Times New Roman" w:hAnsi="Times New Roman" w:cs="Times New Roman"/>
          <w:sz w:val="22"/>
          <w:szCs w:val="22"/>
        </w:rPr>
        <w:t xml:space="preserve">. </w:t>
      </w:r>
    </w:p>
    <w:p w14:paraId="0000001A" w14:textId="77777777" w:rsidR="00B65A7B" w:rsidRDefault="00000000">
      <w:pPr>
        <w:numPr>
          <w:ilvl w:val="0"/>
          <w:numId w:val="2"/>
        </w:numPr>
        <w:pBdr>
          <w:top w:val="nil"/>
          <w:left w:val="nil"/>
          <w:bottom w:val="nil"/>
          <w:right w:val="nil"/>
          <w:between w:val="nil"/>
        </w:pBdr>
        <w:spacing w:before="480" w:after="240" w:line="276" w:lineRule="auto"/>
      </w:pPr>
      <w:r>
        <w:rPr>
          <w:rFonts w:ascii="Arial" w:eastAsia="Arial" w:hAnsi="Arial" w:cs="Arial"/>
          <w:b/>
          <w:i/>
          <w:color w:val="000000"/>
          <w:sz w:val="28"/>
          <w:szCs w:val="28"/>
        </w:rPr>
        <w:lastRenderedPageBreak/>
        <w:t xml:space="preserve">Capítulo 1: </w:t>
      </w:r>
      <w:proofErr w:type="spellStart"/>
      <w:r>
        <w:rPr>
          <w:rFonts w:ascii="Arial" w:eastAsia="Arial" w:hAnsi="Arial" w:cs="Arial"/>
          <w:b/>
          <w:i/>
          <w:color w:val="000000"/>
          <w:sz w:val="28"/>
          <w:szCs w:val="28"/>
        </w:rPr>
        <w:t>Lil</w:t>
      </w:r>
      <w:proofErr w:type="spellEnd"/>
      <w:r>
        <w:rPr>
          <w:rFonts w:ascii="Arial" w:eastAsia="Arial" w:hAnsi="Arial" w:cs="Arial"/>
          <w:b/>
          <w:i/>
          <w:color w:val="000000"/>
          <w:sz w:val="28"/>
          <w:szCs w:val="28"/>
        </w:rPr>
        <w:t xml:space="preserve"> Buck y Jon </w:t>
      </w:r>
      <w:proofErr w:type="spellStart"/>
      <w:r>
        <w:rPr>
          <w:rFonts w:ascii="Arial" w:eastAsia="Arial" w:hAnsi="Arial" w:cs="Arial"/>
          <w:b/>
          <w:i/>
          <w:color w:val="000000"/>
          <w:sz w:val="28"/>
          <w:szCs w:val="28"/>
        </w:rPr>
        <w:t>Boogz</w:t>
      </w:r>
      <w:proofErr w:type="spellEnd"/>
    </w:p>
    <w:p w14:paraId="0000001B"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 primer capítulo de la serie es acerca de los bailarines y coreógrafos </w:t>
      </w:r>
      <w:r>
        <w:rPr>
          <w:rFonts w:ascii="Times New Roman" w:eastAsia="Times New Roman" w:hAnsi="Times New Roman" w:cs="Times New Roman"/>
          <w:color w:val="202122"/>
          <w:sz w:val="22"/>
          <w:szCs w:val="22"/>
        </w:rPr>
        <w:t xml:space="preserve">Charles Riley y Jonathan Smith, más conocidos como </w:t>
      </w:r>
      <w:proofErr w:type="spellStart"/>
      <w:r>
        <w:rPr>
          <w:rFonts w:ascii="Times New Roman" w:eastAsia="Times New Roman" w:hAnsi="Times New Roman" w:cs="Times New Roman"/>
          <w:sz w:val="22"/>
          <w:szCs w:val="22"/>
        </w:rPr>
        <w:t>Lil</w:t>
      </w:r>
      <w:proofErr w:type="spellEnd"/>
      <w:r>
        <w:rPr>
          <w:rFonts w:ascii="Times New Roman" w:eastAsia="Times New Roman" w:hAnsi="Times New Roman" w:cs="Times New Roman"/>
          <w:sz w:val="22"/>
          <w:szCs w:val="22"/>
        </w:rPr>
        <w:t xml:space="preserve"> Buck y Jon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Ambos residen actualmente en Los Ángeles pero son de Chicago y Filadelfia respectivamente y se dedican al </w:t>
      </w:r>
      <w:r>
        <w:rPr>
          <w:rFonts w:ascii="Times New Roman" w:eastAsia="Times New Roman" w:hAnsi="Times New Roman" w:cs="Times New Roman"/>
          <w:i/>
          <w:sz w:val="22"/>
          <w:szCs w:val="22"/>
        </w:rPr>
        <w:t xml:space="preserve">Street Dance, </w:t>
      </w:r>
      <w:r>
        <w:rPr>
          <w:rFonts w:ascii="Times New Roman" w:eastAsia="Times New Roman" w:hAnsi="Times New Roman" w:cs="Times New Roman"/>
          <w:sz w:val="22"/>
          <w:szCs w:val="22"/>
        </w:rPr>
        <w:t>aunque en diferentes “estilos” o “variantes”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El episodio que inaugura la serie es el único que reúne a una dupla de protagonistas y los presenta, desde el comienzo, asociados. Los coreógrafos expresan que los une no solamente una “pasión” o un “amor” por la danza sino, sobre todo, la misión de poder demostrar al mundo que la danza callejera es un arte y que, como tal, se define como una herramienta de lucha y generación de conciencia. </w:t>
      </w:r>
    </w:p>
    <w:p w14:paraId="0000001C"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Buck y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comenzaron a trabajar juntos diez años atrás en el espacio de la calle. Casi como un mito de origen, narran en primera persona la historia del inicio de sus prácticas en común: “en una calle peatonal de Santa Mónica bailábamos frente un grupo de turistas que lloraban al vernos mover el cuerpo”. Específicamente, Buck practica desde sus trece años el </w:t>
      </w:r>
      <w:r>
        <w:rPr>
          <w:rFonts w:ascii="Times New Roman" w:eastAsia="Times New Roman" w:hAnsi="Times New Roman" w:cs="Times New Roman"/>
          <w:i/>
          <w:sz w:val="22"/>
          <w:szCs w:val="22"/>
        </w:rPr>
        <w:t xml:space="preserve">Memphis </w:t>
      </w:r>
      <w:proofErr w:type="spellStart"/>
      <w:r>
        <w:rPr>
          <w:rFonts w:ascii="Times New Roman" w:eastAsia="Times New Roman" w:hAnsi="Times New Roman" w:cs="Times New Roman"/>
          <w:i/>
          <w:sz w:val="22"/>
          <w:szCs w:val="22"/>
        </w:rPr>
        <w:t>Jooking</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una cultura callejera que se originó en las comunidades </w:t>
      </w:r>
      <w:hyperlink r:id="rId8">
        <w:r>
          <w:rPr>
            <w:rFonts w:ascii="Times New Roman" w:eastAsia="Times New Roman" w:hAnsi="Times New Roman" w:cs="Times New Roman"/>
            <w:sz w:val="22"/>
            <w:szCs w:val="22"/>
          </w:rPr>
          <w:t>afroamericanas</w:t>
        </w:r>
      </w:hyperlink>
      <w:r>
        <w:rPr>
          <w:rFonts w:ascii="Times New Roman" w:eastAsia="Times New Roman" w:hAnsi="Times New Roman" w:cs="Times New Roman"/>
          <w:sz w:val="22"/>
          <w:szCs w:val="22"/>
        </w:rPr>
        <w:t xml:space="preserve"> de Memphis, Tennessee al inicio de los años noventa. En sus inicios, fue llamado </w:t>
      </w:r>
      <w:proofErr w:type="spellStart"/>
      <w:r>
        <w:rPr>
          <w:rFonts w:ascii="Times New Roman" w:eastAsia="Times New Roman" w:hAnsi="Times New Roman" w:cs="Times New Roman"/>
          <w:i/>
          <w:sz w:val="22"/>
          <w:szCs w:val="22"/>
        </w:rPr>
        <w:t>Gangsta</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Walking</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y consistía en una caminata con movimientos cortados y veloces que acompañaban el ritmo de la música local del </w:t>
      </w:r>
      <w:proofErr w:type="spellStart"/>
      <w:r>
        <w:rPr>
          <w:rFonts w:ascii="Times New Roman" w:eastAsia="Times New Roman" w:hAnsi="Times New Roman" w:cs="Times New Roman"/>
          <w:i/>
          <w:sz w:val="22"/>
          <w:szCs w:val="22"/>
        </w:rPr>
        <w:t>Gangsta</w:t>
      </w:r>
      <w:proofErr w:type="spellEnd"/>
      <w:r>
        <w:rPr>
          <w:rFonts w:ascii="Times New Roman" w:eastAsia="Times New Roman" w:hAnsi="Times New Roman" w:cs="Times New Roman"/>
          <w:i/>
          <w:sz w:val="22"/>
          <w:szCs w:val="22"/>
        </w:rPr>
        <w:t xml:space="preserve"> Rap</w:t>
      </w:r>
      <w:r>
        <w:rPr>
          <w:rFonts w:ascii="Times New Roman" w:eastAsia="Times New Roman" w:hAnsi="Times New Roman" w:cs="Times New Roman"/>
          <w:sz w:val="22"/>
          <w:szCs w:val="22"/>
        </w:rPr>
        <w:t xml:space="preserve">. Luego, fue complejizándose a partir de utilizar en las improvisaciones distintos tipos de deslizamientos, bloqueos articulares, saltos, giros y diversos apoyos sobre las puntas de los pies y metatarsos. Por su parte,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se dedica a la variante del </w:t>
      </w:r>
      <w:proofErr w:type="spellStart"/>
      <w:r>
        <w:rPr>
          <w:rFonts w:ascii="Times New Roman" w:eastAsia="Times New Roman" w:hAnsi="Times New Roman" w:cs="Times New Roman"/>
          <w:i/>
          <w:sz w:val="22"/>
          <w:szCs w:val="22"/>
        </w:rPr>
        <w:t>Popping</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otra danza callejera surgida en el área de la Bahía de San Francisco en los años setenta. Consiste en la contracción y relajación muscular que apunta a causar ‘impulsos’ o ‘golpes’ en los cuerpos de </w:t>
      </w:r>
      <w:proofErr w:type="spellStart"/>
      <w:r>
        <w:rPr>
          <w:rFonts w:ascii="Times New Roman" w:eastAsia="Times New Roman" w:hAnsi="Times New Roman" w:cs="Times New Roman"/>
          <w:sz w:val="22"/>
          <w:szCs w:val="22"/>
        </w:rPr>
        <w:t>lxs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bailarinxs</w:t>
      </w:r>
      <w:proofErr w:type="spellEnd"/>
      <w:r>
        <w:rPr>
          <w:rFonts w:ascii="Times New Roman" w:eastAsia="Times New Roman" w:hAnsi="Times New Roman" w:cs="Times New Roman"/>
          <w:sz w:val="22"/>
          <w:szCs w:val="22"/>
        </w:rPr>
        <w:t xml:space="preserve">. Al igual que el </w:t>
      </w:r>
      <w:proofErr w:type="spellStart"/>
      <w:r>
        <w:rPr>
          <w:rFonts w:ascii="Times New Roman" w:eastAsia="Times New Roman" w:hAnsi="Times New Roman" w:cs="Times New Roman"/>
          <w:i/>
          <w:sz w:val="22"/>
          <w:szCs w:val="22"/>
        </w:rPr>
        <w:t>Jookin</w:t>
      </w:r>
      <w:r>
        <w:rPr>
          <w:rFonts w:ascii="Times New Roman" w:eastAsia="Times New Roman" w:hAnsi="Times New Roman" w:cs="Times New Roman"/>
          <w:sz w:val="22"/>
          <w:szCs w:val="22"/>
        </w:rPr>
        <w:t>g</w:t>
      </w:r>
      <w:proofErr w:type="spellEnd"/>
      <w:r>
        <w:rPr>
          <w:rFonts w:ascii="Times New Roman" w:eastAsia="Times New Roman" w:hAnsi="Times New Roman" w:cs="Times New Roman"/>
          <w:sz w:val="22"/>
          <w:szCs w:val="22"/>
        </w:rPr>
        <w:t>, está directamente relacionado con el ritmo de la música y la generación de un efecto ilusorio con respecto a lo que el cuerpo puede lograr con sus movimientos.</w:t>
      </w:r>
    </w:p>
    <w:p w14:paraId="0000001D"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 capítulo inicia por el final de su propio relato: en las primeras escenas se muestra a Buck y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–ya adultos, ya coreógrafos consagrados– transitando las grandes calles de Los Ángeles como el punto más alto del recorrido ascendente que propone la serie. Se los presenta a través de una secuencia de escenas muy similares entre sí y organizadas a partir de una misma lógica de montaje: Buck y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improvisando en la calle, luego bailando en videos de archivo en los hogares de sus infancias e inmediatamente después ocupando los grandes escenarios vacíos previos a una función. Estas escenas que se suceden entre sí se intercalan, además, con las voces de Robin Sanders -poeta y dramaturga que trabaja con ellos- y los discursos de las figuras maternas que narran las historias de violencia doméstica y expresan el orgullo por aquello que sus hijos han podido alcanzar. Esta estructuración del capítulo se replica de principio a fin y presenta las historias de los dos coreógrafos, en definitiva, como una misma historia. Este capítulo pone en primer plano un tópico que también aparece, aunque de distintos modos, en el resto de los capítulos de </w:t>
      </w: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sz w:val="22"/>
          <w:szCs w:val="22"/>
        </w:rPr>
        <w:t xml:space="preserve">: el camino consagratorio de estos coreógrafos que se da con y a través de la danza. </w:t>
      </w:r>
    </w:p>
    <w:p w14:paraId="0000001E" w14:textId="77777777" w:rsidR="00B65A7B" w:rsidRDefault="00000000">
      <w:pPr>
        <w:spacing w:line="360" w:lineRule="auto"/>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lastRenderedPageBreak/>
        <w:t xml:space="preserve">Desde la perspectiva de Buck y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la </w:t>
      </w:r>
      <w:r>
        <w:rPr>
          <w:rFonts w:ascii="Times New Roman" w:eastAsia="Times New Roman" w:hAnsi="Times New Roman" w:cs="Times New Roman"/>
          <w:i/>
          <w:sz w:val="22"/>
          <w:szCs w:val="22"/>
        </w:rPr>
        <w:t>Street Dance</w:t>
      </w:r>
      <w:r>
        <w:rPr>
          <w:rFonts w:ascii="Times New Roman" w:eastAsia="Times New Roman" w:hAnsi="Times New Roman" w:cs="Times New Roman"/>
          <w:sz w:val="22"/>
          <w:szCs w:val="22"/>
        </w:rPr>
        <w:t xml:space="preserve"> se configura como una herramienta de ‘salvación’ con </w:t>
      </w:r>
      <w:proofErr w:type="spellStart"/>
      <w:r>
        <w:rPr>
          <w:rFonts w:ascii="Times New Roman" w:eastAsia="Times New Roman" w:hAnsi="Times New Roman" w:cs="Times New Roman"/>
          <w:sz w:val="22"/>
          <w:szCs w:val="22"/>
        </w:rPr>
        <w:t>repecto</w:t>
      </w:r>
      <w:proofErr w:type="spellEnd"/>
      <w:r>
        <w:rPr>
          <w:rFonts w:ascii="Times New Roman" w:eastAsia="Times New Roman" w:hAnsi="Times New Roman" w:cs="Times New Roman"/>
          <w:sz w:val="22"/>
          <w:szCs w:val="22"/>
        </w:rPr>
        <w:t xml:space="preserve"> a aquellas grandes heridas que provienen desde la esclavitud. En este sentido, encuentran en la danza la posibilidad de escapar al destino que estaba previsto para ellos: las pandillas, la delincuencia, las drogas, y la violencia de los guetos. Según los coreógrafos, la danza callejera viene de aquellas luchas y trae consigo mucho dolor. En este sentido, la misión que ellos proponen y tienen en común parece apuntar de forma radical a definir la danza como una herramienta de lucha para las culturas afroamericanas. La danza callejera no es sino una forma de encuentro y generación de identidades. Hacia el final del capítulo, Buck menciona: “en nuestra cultura la danza se ha usado como una forma de comunicación desde los esclavos (...). El baile se ha usado como un símbolo para salvar vidas (...) los bailarines callejeros saben que bailar es una fuente y herramienta para sanar”.</w:t>
      </w:r>
    </w:p>
    <w:p w14:paraId="0000001F"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Tanto Buck como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cuentan haber accedido a las danzas callejeras a través de la observación de otros cuerpos bailando en la calle. Desde niños o adolescentes practican con el objetivo de convertirse en las figuras hegemónicas a las que aspiran y habitar los grandes  escenarios teatrales. Ellos explican: “buscábamos dominar los estilos con el objetivo de convertirnos en figuras legendarias tales como Fred </w:t>
      </w:r>
      <w:proofErr w:type="spellStart"/>
      <w:r>
        <w:rPr>
          <w:rFonts w:ascii="Times New Roman" w:eastAsia="Times New Roman" w:hAnsi="Times New Roman" w:cs="Times New Roman"/>
          <w:sz w:val="22"/>
          <w:szCs w:val="22"/>
        </w:rPr>
        <w:t>Astaire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Barishnikov</w:t>
      </w:r>
      <w:proofErr w:type="spellEnd"/>
      <w:r>
        <w:rPr>
          <w:rFonts w:ascii="Times New Roman" w:eastAsia="Times New Roman" w:hAnsi="Times New Roman" w:cs="Times New Roman"/>
          <w:sz w:val="22"/>
          <w:szCs w:val="22"/>
        </w:rPr>
        <w:t>, Gregory Hines, los hermanos Nicholas”.</w:t>
      </w:r>
    </w:p>
    <w:p w14:paraId="00000020"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este punto, resulta central hacer referencia a la relación con la danza académica que se establece en este capítulo. En una de las escenas se lo ve a Buck bailando sobre el escenario de un teatro a la italiana junto con otros </w:t>
      </w:r>
      <w:proofErr w:type="spellStart"/>
      <w:r>
        <w:rPr>
          <w:rFonts w:ascii="Times New Roman" w:eastAsia="Times New Roman" w:hAnsi="Times New Roman" w:cs="Times New Roman"/>
          <w:sz w:val="22"/>
          <w:szCs w:val="22"/>
        </w:rPr>
        <w:t>bailarinxs</w:t>
      </w:r>
      <w:proofErr w:type="spellEnd"/>
      <w:r>
        <w:rPr>
          <w:rFonts w:ascii="Times New Roman" w:eastAsia="Times New Roman" w:hAnsi="Times New Roman" w:cs="Times New Roman"/>
          <w:sz w:val="22"/>
          <w:szCs w:val="22"/>
        </w:rPr>
        <w:t xml:space="preserve">, pero de ballet. El coreógrafo compara ciertos elementos técnicos con el </w:t>
      </w:r>
      <w:proofErr w:type="spellStart"/>
      <w:r>
        <w:rPr>
          <w:rFonts w:ascii="Times New Roman" w:eastAsia="Times New Roman" w:hAnsi="Times New Roman" w:cs="Times New Roman"/>
          <w:i/>
          <w:sz w:val="22"/>
          <w:szCs w:val="22"/>
        </w:rPr>
        <w:t>Jooking</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y explica haber conseguido la “elegancia” y “gracia” en su forma de moverse debido a sus estudios de ballet realizados por la beca recibida en el </w:t>
      </w:r>
      <w:hyperlink r:id="rId9">
        <w:r>
          <w:rPr>
            <w:rFonts w:ascii="Times New Roman" w:eastAsia="Times New Roman" w:hAnsi="Times New Roman" w:cs="Times New Roman"/>
            <w:sz w:val="22"/>
            <w:szCs w:val="22"/>
          </w:rPr>
          <w:t>New Ballet Ensemble</w:t>
        </w:r>
      </w:hyperlink>
      <w:r>
        <w:rPr>
          <w:rFonts w:ascii="Times New Roman" w:eastAsia="Times New Roman" w:hAnsi="Times New Roman" w:cs="Times New Roman"/>
          <w:sz w:val="22"/>
          <w:szCs w:val="22"/>
        </w:rPr>
        <w:t xml:space="preserve"> en Nueva York. En relación a esto mismo, en una de las escenas finales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comenta: “El ballet es ‘la verdadera danza’ y creo que somos los que podemos hacer que la gente aprecie el baile callejero al mismo nivel que el ballet. Una </w:t>
      </w:r>
      <w:proofErr w:type="spellStart"/>
      <w:r>
        <w:rPr>
          <w:rFonts w:ascii="Times New Roman" w:eastAsia="Times New Roman" w:hAnsi="Times New Roman" w:cs="Times New Roman"/>
          <w:i/>
          <w:sz w:val="22"/>
          <w:szCs w:val="22"/>
        </w:rPr>
        <w:t>Julliard</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para el baile callejero”. En este sentido, el ballet no sólo provee una “mejora” técnica e interpretativa en sus movimientos sino que, además, se constituye como un modelo de legitimación al cual aspirar.</w:t>
      </w:r>
    </w:p>
    <w:p w14:paraId="00000021" w14:textId="77777777" w:rsidR="00B65A7B" w:rsidRDefault="00000000">
      <w:pPr>
        <w:spacing w:line="360" w:lineRule="auto"/>
        <w:jc w:val="both"/>
        <w:rPr>
          <w:rFonts w:ascii="Arial" w:eastAsia="Arial" w:hAnsi="Arial" w:cs="Arial"/>
          <w:b/>
          <w:i/>
          <w:sz w:val="28"/>
          <w:szCs w:val="28"/>
        </w:rPr>
      </w:pPr>
      <w:r>
        <w:rPr>
          <w:rFonts w:ascii="Times New Roman" w:eastAsia="Times New Roman" w:hAnsi="Times New Roman" w:cs="Times New Roman"/>
          <w:sz w:val="22"/>
          <w:szCs w:val="22"/>
        </w:rPr>
        <w:t xml:space="preserve">El capítulo uno, finalmente, propone una serie de desplazamientos para las figuras de Buck y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desde los guetos de Estados Unidos a las grandes ciudades y capitales artísticas; desde la pobreza extrema hasta convertirse en fuentes de sustento familiar y orgullo de las figuras maternas; desde la danza callejera improvisada a </w:t>
      </w:r>
      <w:r>
        <w:rPr>
          <w:rFonts w:ascii="Times New Roman" w:eastAsia="Times New Roman" w:hAnsi="Times New Roman" w:cs="Times New Roman"/>
          <w:color w:val="222222"/>
          <w:sz w:val="22"/>
          <w:szCs w:val="22"/>
        </w:rPr>
        <w:t>coreografías que tienden hacia la significación</w:t>
      </w:r>
      <w:r>
        <w:rPr>
          <w:rFonts w:ascii="Times New Roman" w:eastAsia="Times New Roman" w:hAnsi="Times New Roman" w:cs="Times New Roman"/>
          <w:sz w:val="22"/>
          <w:szCs w:val="22"/>
        </w:rPr>
        <w:t xml:space="preserve"> –y pretenden visibilizar denuncias sociales– y por lo tanto, desde el espacio de la calle hacia los grandes escenarios; desde las pandillas a los grupos de danza profesionales y legitimados. En definitiva, Buck y </w:t>
      </w:r>
      <w:proofErr w:type="spellStart"/>
      <w:r>
        <w:rPr>
          <w:rFonts w:ascii="Times New Roman" w:eastAsia="Times New Roman" w:hAnsi="Times New Roman" w:cs="Times New Roman"/>
          <w:sz w:val="22"/>
          <w:szCs w:val="22"/>
        </w:rPr>
        <w:t>Boogz</w:t>
      </w:r>
      <w:proofErr w:type="spellEnd"/>
      <w:r>
        <w:rPr>
          <w:rFonts w:ascii="Times New Roman" w:eastAsia="Times New Roman" w:hAnsi="Times New Roman" w:cs="Times New Roman"/>
          <w:sz w:val="22"/>
          <w:szCs w:val="22"/>
        </w:rPr>
        <w:t xml:space="preserve"> transitan un recorrido desde el “venir de la nada con cien dólares en el bolsillo” (en palabras de ellos)  hasta la consagración como artistas y la fama internacional. Ellos mismos hacen referencia a un cierto </w:t>
      </w:r>
      <w:proofErr w:type="spellStart"/>
      <w:r>
        <w:rPr>
          <w:rFonts w:ascii="Times New Roman" w:eastAsia="Times New Roman" w:hAnsi="Times New Roman" w:cs="Times New Roman"/>
          <w:sz w:val="22"/>
          <w:szCs w:val="22"/>
        </w:rPr>
        <w:t>aspiracionismo</w:t>
      </w:r>
      <w:proofErr w:type="spellEnd"/>
      <w:r>
        <w:rPr>
          <w:rFonts w:ascii="Times New Roman" w:eastAsia="Times New Roman" w:hAnsi="Times New Roman" w:cs="Times New Roman"/>
          <w:sz w:val="22"/>
          <w:szCs w:val="22"/>
        </w:rPr>
        <w:t xml:space="preserve"> con respecto a ser bailarines legendarios que la serie de Netflix condensa y exhibe como un tránsito </w:t>
      </w:r>
      <w:proofErr w:type="spellStart"/>
      <w:r>
        <w:rPr>
          <w:rFonts w:ascii="Times New Roman" w:eastAsia="Times New Roman" w:hAnsi="Times New Roman" w:cs="Times New Roman"/>
          <w:sz w:val="22"/>
          <w:szCs w:val="22"/>
        </w:rPr>
        <w:t>heróico</w:t>
      </w:r>
      <w:proofErr w:type="spellEnd"/>
      <w:r>
        <w:rPr>
          <w:rFonts w:ascii="Times New Roman" w:eastAsia="Times New Roman" w:hAnsi="Times New Roman" w:cs="Times New Roman"/>
          <w:sz w:val="22"/>
          <w:szCs w:val="22"/>
        </w:rPr>
        <w:t xml:space="preserve">: la danza se configura como el vehículo de ese sueño americano realizado. </w:t>
      </w:r>
    </w:p>
    <w:p w14:paraId="00000022" w14:textId="77777777" w:rsidR="00B65A7B" w:rsidRDefault="00000000">
      <w:pPr>
        <w:numPr>
          <w:ilvl w:val="0"/>
          <w:numId w:val="2"/>
        </w:numPr>
        <w:pBdr>
          <w:top w:val="nil"/>
          <w:left w:val="nil"/>
          <w:bottom w:val="nil"/>
          <w:right w:val="nil"/>
          <w:between w:val="nil"/>
        </w:pBdr>
        <w:spacing w:before="480" w:after="240" w:line="276" w:lineRule="auto"/>
      </w:pPr>
      <w:r>
        <w:rPr>
          <w:rFonts w:ascii="Arial" w:eastAsia="Arial" w:hAnsi="Arial" w:cs="Arial"/>
          <w:b/>
          <w:i/>
          <w:color w:val="000000"/>
          <w:sz w:val="28"/>
          <w:szCs w:val="28"/>
        </w:rPr>
        <w:lastRenderedPageBreak/>
        <w:t xml:space="preserve">Capítulo 2: </w:t>
      </w:r>
      <w:proofErr w:type="spellStart"/>
      <w:r>
        <w:rPr>
          <w:rFonts w:ascii="Arial" w:eastAsia="Arial" w:hAnsi="Arial" w:cs="Arial"/>
          <w:b/>
          <w:i/>
          <w:color w:val="000000"/>
          <w:sz w:val="28"/>
          <w:szCs w:val="28"/>
        </w:rPr>
        <w:t>Ohad</w:t>
      </w:r>
      <w:proofErr w:type="spellEnd"/>
      <w:r>
        <w:rPr>
          <w:rFonts w:ascii="Arial" w:eastAsia="Arial" w:hAnsi="Arial" w:cs="Arial"/>
          <w:b/>
          <w:i/>
          <w:color w:val="000000"/>
          <w:sz w:val="28"/>
          <w:szCs w:val="28"/>
        </w:rPr>
        <w:t xml:space="preserve"> </w:t>
      </w:r>
      <w:proofErr w:type="spellStart"/>
      <w:r>
        <w:rPr>
          <w:rFonts w:ascii="Arial" w:eastAsia="Arial" w:hAnsi="Arial" w:cs="Arial"/>
          <w:b/>
          <w:i/>
          <w:color w:val="000000"/>
          <w:sz w:val="28"/>
          <w:szCs w:val="28"/>
        </w:rPr>
        <w:t>Naharin</w:t>
      </w:r>
      <w:proofErr w:type="spellEnd"/>
    </w:p>
    <w:p w14:paraId="00000023" w14:textId="77777777" w:rsidR="00B65A7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segundo capítulo es sobre el coreógrafo israelí </w:t>
      </w:r>
      <w:proofErr w:type="spellStart"/>
      <w:r>
        <w:rPr>
          <w:rFonts w:ascii="Times New Roman" w:eastAsia="Times New Roman" w:hAnsi="Times New Roman" w:cs="Times New Roman"/>
          <w:sz w:val="24"/>
          <w:szCs w:val="24"/>
        </w:rPr>
        <w:t>Ohad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y su lenguaje Gaga. Desde su perspectiva, se trata de un modo de generar movimiento y experimentar la relación con éste, es decir, es un abordaje pedagógico, un tipo de entrenamiento y un modo de bailar asociado al placer y a la escucha del propio cuerpo como un acto íntimo tendiente a potenciar las posibilidades físicas e interpretativas personales de quien/es lo practican. Gaga es una suerte de método –aunque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no lo llama así, sino “lenguaje”– practicado por </w:t>
      </w:r>
      <w:proofErr w:type="spellStart"/>
      <w:r>
        <w:rPr>
          <w:rFonts w:ascii="Times New Roman" w:eastAsia="Times New Roman" w:hAnsi="Times New Roman" w:cs="Times New Roman"/>
          <w:sz w:val="24"/>
          <w:szCs w:val="24"/>
        </w:rPr>
        <w:t>bailarinxs</w:t>
      </w:r>
      <w:proofErr w:type="spellEnd"/>
      <w:r>
        <w:rPr>
          <w:rFonts w:ascii="Times New Roman" w:eastAsia="Times New Roman" w:hAnsi="Times New Roman" w:cs="Times New Roman"/>
          <w:sz w:val="24"/>
          <w:szCs w:val="24"/>
        </w:rPr>
        <w:t xml:space="preserve"> profesionales, y en su variante </w:t>
      </w:r>
      <w:r>
        <w:rPr>
          <w:rFonts w:ascii="Times New Roman" w:eastAsia="Times New Roman" w:hAnsi="Times New Roman" w:cs="Times New Roman"/>
          <w:i/>
          <w:sz w:val="24"/>
          <w:szCs w:val="24"/>
        </w:rPr>
        <w:t>Gaga People</w:t>
      </w:r>
      <w:r>
        <w:rPr>
          <w:rFonts w:ascii="Times New Roman" w:eastAsia="Times New Roman" w:hAnsi="Times New Roman" w:cs="Times New Roman"/>
          <w:sz w:val="24"/>
          <w:szCs w:val="24"/>
        </w:rPr>
        <w:t xml:space="preserve"> también es practicado por otras personas sin formación en danza o entrenamiento previo. En la película sobre su vida, titulada </w:t>
      </w:r>
      <w:r>
        <w:rPr>
          <w:rFonts w:ascii="Times New Roman" w:eastAsia="Times New Roman" w:hAnsi="Times New Roman" w:cs="Times New Roman"/>
          <w:i/>
          <w:sz w:val="24"/>
          <w:szCs w:val="24"/>
        </w:rPr>
        <w:t>Mr. Gaga</w:t>
      </w:r>
      <w:r>
        <w:rPr>
          <w:rFonts w:ascii="Times New Roman" w:eastAsia="Times New Roman" w:hAnsi="Times New Roman" w:cs="Times New Roman"/>
          <w:sz w:val="24"/>
          <w:szCs w:val="24"/>
        </w:rPr>
        <w:t>, el coreógrafo hace referencia a que este lenguaje no busca la “perfección” (que en la serie se presenta asociada al ballet, a los espejos, a cierta estandarización –hegemónica– de los cuerpos) sino “un movimiento que pueda hacerse cargo de lo asimétrico, la gravedad, el descubrimiento de lo nuevo, la sensualidad, el peligro, la belleza, el misterio (...) La danza viene antes que la técnica, el virtuosismo o el talento musical. Estoy hablando de algo que está en la piel” (</w:t>
      </w:r>
      <w:proofErr w:type="spellStart"/>
      <w:r>
        <w:rPr>
          <w:rFonts w:ascii="Times New Roman" w:eastAsia="Times New Roman" w:hAnsi="Times New Roman" w:cs="Times New Roman"/>
          <w:sz w:val="24"/>
          <w:szCs w:val="24"/>
        </w:rPr>
        <w:t>Heymann</w:t>
      </w:r>
      <w:proofErr w:type="spellEnd"/>
      <w:r>
        <w:rPr>
          <w:rFonts w:ascii="Times New Roman" w:eastAsia="Times New Roman" w:hAnsi="Times New Roman" w:cs="Times New Roman"/>
          <w:sz w:val="24"/>
          <w:szCs w:val="24"/>
        </w:rPr>
        <w:t>, 2015).</w:t>
      </w:r>
    </w:p>
    <w:p w14:paraId="00000024" w14:textId="77777777" w:rsidR="00B65A7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formación de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iniciada a sus 22 años luego de finalizar el servicio militar obligatorio en el ejército israelí, y realizada principalmente en Nueva York, tuvo una impronta eminentemente académica: la escuela de Martha Graham, la </w:t>
      </w:r>
      <w:proofErr w:type="spellStart"/>
      <w:r>
        <w:rPr>
          <w:rFonts w:ascii="Times New Roman" w:eastAsia="Times New Roman" w:hAnsi="Times New Roman" w:cs="Times New Roman"/>
          <w:sz w:val="24"/>
          <w:szCs w:val="24"/>
        </w:rPr>
        <w:t>Julliard</w:t>
      </w:r>
      <w:proofErr w:type="spellEnd"/>
      <w:r>
        <w:rPr>
          <w:rFonts w:ascii="Times New Roman" w:eastAsia="Times New Roman" w:hAnsi="Times New Roman" w:cs="Times New Roman"/>
          <w:sz w:val="24"/>
          <w:szCs w:val="24"/>
        </w:rPr>
        <w:t xml:space="preserve"> y la del American Ballet. Ya en Tel Aviv y luego de desvincularse de la armada israelí,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integró la compañía de danza </w:t>
      </w:r>
      <w:proofErr w:type="spellStart"/>
      <w:r>
        <w:rPr>
          <w:rFonts w:ascii="Times New Roman" w:eastAsia="Times New Roman" w:hAnsi="Times New Roman" w:cs="Times New Roman"/>
          <w:sz w:val="24"/>
          <w:szCs w:val="24"/>
        </w:rPr>
        <w:t>Batsheva</w:t>
      </w:r>
      <w:proofErr w:type="spellEnd"/>
      <w:r>
        <w:rPr>
          <w:rFonts w:ascii="Times New Roman" w:eastAsia="Times New Roman" w:hAnsi="Times New Roman" w:cs="Times New Roman"/>
          <w:sz w:val="24"/>
          <w:szCs w:val="24"/>
        </w:rPr>
        <w:t xml:space="preserve"> (en adelante, BDC) como bailarín, y desde 1990 hasta el 2018 como director artístico. Esta compañía, que existe desde 1964, estuvo originalmente ligada a la estética de la </w:t>
      </w:r>
      <w:proofErr w:type="spellStart"/>
      <w:r>
        <w:rPr>
          <w:rFonts w:ascii="Times New Roman" w:eastAsia="Times New Roman" w:hAnsi="Times New Roman" w:cs="Times New Roman"/>
          <w:i/>
          <w:sz w:val="24"/>
          <w:szCs w:val="24"/>
        </w:rPr>
        <w:t>modern</w:t>
      </w:r>
      <w:proofErr w:type="spellEnd"/>
      <w:r>
        <w:rPr>
          <w:rFonts w:ascii="Times New Roman" w:eastAsia="Times New Roman" w:hAnsi="Times New Roman" w:cs="Times New Roman"/>
          <w:i/>
          <w:sz w:val="24"/>
          <w:szCs w:val="24"/>
        </w:rPr>
        <w:t xml:space="preserve"> dance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 sólo porque fue fundada por Martha Graham junto a la baronesa </w:t>
      </w:r>
      <w:proofErr w:type="spellStart"/>
      <w:r>
        <w:rPr>
          <w:rFonts w:ascii="Times New Roman" w:eastAsia="Times New Roman" w:hAnsi="Times New Roman" w:cs="Times New Roman"/>
          <w:sz w:val="24"/>
          <w:szCs w:val="24"/>
        </w:rPr>
        <w:t>Batsheva</w:t>
      </w:r>
      <w:proofErr w:type="spellEnd"/>
      <w:r>
        <w:rPr>
          <w:rFonts w:ascii="Times New Roman" w:eastAsia="Times New Roman" w:hAnsi="Times New Roman" w:cs="Times New Roman"/>
          <w:sz w:val="24"/>
          <w:szCs w:val="24"/>
        </w:rPr>
        <w:t xml:space="preserve"> de Rothschild (hija de la familia de banqueros Rothschild), sino por el interés que por ese entonces tenía el Estado de Israel en esta corriente dancística.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Es importante aclarar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que la BDC es financiada por el Ministerio de Cultura de Israel y por el Ministerio de Relaciones Exteriores.</w:t>
      </w:r>
    </w:p>
    <w:p w14:paraId="00000025" w14:textId="77777777" w:rsidR="00B65A7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nos convoca, en este caso, es cómo la figura de </w:t>
      </w:r>
      <w:proofErr w:type="spellStart"/>
      <w:r>
        <w:rPr>
          <w:rFonts w:ascii="Times New Roman" w:eastAsia="Times New Roman" w:hAnsi="Times New Roman" w:cs="Times New Roman"/>
          <w:sz w:val="24"/>
          <w:szCs w:val="24"/>
        </w:rPr>
        <w:t>Ohad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y el lenguaje Gaga (que integran una serie audiovisual de danza que reúne también a </w:t>
      </w:r>
      <w:proofErr w:type="spellStart"/>
      <w:r>
        <w:rPr>
          <w:rFonts w:ascii="Times New Roman" w:eastAsia="Times New Roman" w:hAnsi="Times New Roman" w:cs="Times New Roman"/>
          <w:sz w:val="24"/>
          <w:szCs w:val="24"/>
        </w:rPr>
        <w:t>otrxs</w:t>
      </w:r>
      <w:proofErr w:type="spellEnd"/>
      <w:r>
        <w:rPr>
          <w:rFonts w:ascii="Times New Roman" w:eastAsia="Times New Roman" w:hAnsi="Times New Roman" w:cs="Times New Roman"/>
          <w:sz w:val="24"/>
          <w:szCs w:val="24"/>
        </w:rPr>
        <w:t xml:space="preserve"> artistas del movimiento) pareciera funcionar como el capítulo que presenta una manifestación “neutral” de La Danza, algo así como la medida de las cosas, respecto a la cual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demás artistas se presentan, por contraste, como </w:t>
      </w:r>
      <w:proofErr w:type="spellStart"/>
      <w:r>
        <w:rPr>
          <w:rFonts w:ascii="Times New Roman" w:eastAsia="Times New Roman" w:hAnsi="Times New Roman" w:cs="Times New Roman"/>
          <w:sz w:val="24"/>
          <w:szCs w:val="24"/>
        </w:rPr>
        <w:t>exotizadxs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su danza y los cuerpos que practican su danza constituyen una </w:t>
      </w:r>
      <w:r>
        <w:rPr>
          <w:rFonts w:ascii="Times New Roman" w:eastAsia="Times New Roman" w:hAnsi="Times New Roman" w:cs="Times New Roman"/>
          <w:sz w:val="24"/>
          <w:szCs w:val="24"/>
        </w:rPr>
        <w:lastRenderedPageBreak/>
        <w:t xml:space="preserve">expresión hegemónica (académica, blanca, de clase alta y de cuerpos resguardados en salas de ensayo o teatros –o en todo caso, al aire libre, en una tarima de altura–), aunque el propio coreógrafo, al describir su lenguaje, pareciera proponer lo contrario. En la pantalla aparece con mayor evidencia que Gaga, como expresión dancística hegemónica, no precisa una legitimación externa a ella. A diferencia de lo que sucede en algunos otros capítulos, en los que bailar aparece como una salvación -o como un camino que aleja a sus practicantes de la pobreza </w:t>
      </w:r>
      <w:proofErr w:type="spellStart"/>
      <w:r>
        <w:rPr>
          <w:rFonts w:ascii="Times New Roman" w:eastAsia="Times New Roman" w:hAnsi="Times New Roman" w:cs="Times New Roman"/>
          <w:sz w:val="24"/>
          <w:szCs w:val="24"/>
        </w:rPr>
        <w:t>trasladándolxs</w:t>
      </w:r>
      <w:proofErr w:type="spellEnd"/>
      <w:r>
        <w:rPr>
          <w:rFonts w:ascii="Times New Roman" w:eastAsia="Times New Roman" w:hAnsi="Times New Roman" w:cs="Times New Roman"/>
          <w:sz w:val="24"/>
          <w:szCs w:val="24"/>
        </w:rPr>
        <w:t xml:space="preserve"> a los escenarios de las grandes ciudades-, en el capítulo 2, los cuerpos presentes en la pantalla ya están “salvados” desde el comienzo.</w:t>
      </w:r>
    </w:p>
    <w:p w14:paraId="00000026" w14:textId="77777777" w:rsidR="00B65A7B" w:rsidRDefault="00B65A7B">
      <w:pPr>
        <w:spacing w:line="360" w:lineRule="auto"/>
        <w:jc w:val="both"/>
        <w:rPr>
          <w:rFonts w:ascii="Times New Roman" w:eastAsia="Times New Roman" w:hAnsi="Times New Roman" w:cs="Times New Roman"/>
          <w:sz w:val="24"/>
          <w:szCs w:val="24"/>
        </w:rPr>
      </w:pPr>
    </w:p>
    <w:p w14:paraId="00000027" w14:textId="77777777" w:rsidR="00B65A7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se organizan estos elementos en este capítulo? El recorrido se muestra invertido: la danza no salva a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de una vida desgraciada sino que, por el contrario, el lenguaje Gaga y la propia figura idealizante del coreógrafo se establecen como el discurso y la práctica de una salvación de tipo comunitaria. La danza no se presenta como un recorrido sacrificial o vehículo hacia la legitimación: es representada como un lenguaje “imposible de definir a través de las palabras”, como algo que </w:t>
      </w:r>
      <w:proofErr w:type="spellStart"/>
      <w:r>
        <w:rPr>
          <w:rFonts w:ascii="Times New Roman" w:eastAsia="Times New Roman" w:hAnsi="Times New Roman" w:cs="Times New Roman"/>
          <w:sz w:val="24"/>
          <w:szCs w:val="24"/>
        </w:rPr>
        <w:t>Naharin</w:t>
      </w:r>
      <w:proofErr w:type="spellEnd"/>
      <w:r>
        <w:rPr>
          <w:rFonts w:ascii="Times New Roman" w:eastAsia="Times New Roman" w:hAnsi="Times New Roman" w:cs="Times New Roman"/>
          <w:sz w:val="24"/>
          <w:szCs w:val="24"/>
        </w:rPr>
        <w:t xml:space="preserve"> imparte al mundo como figura de poder desde siempre legitimada.</w:t>
      </w:r>
    </w:p>
    <w:p w14:paraId="00000028" w14:textId="77777777" w:rsidR="00B65A7B" w:rsidRDefault="00B65A7B">
      <w:pPr>
        <w:spacing w:line="360" w:lineRule="auto"/>
        <w:jc w:val="both"/>
        <w:rPr>
          <w:rFonts w:ascii="Times New Roman" w:eastAsia="Times New Roman" w:hAnsi="Times New Roman" w:cs="Times New Roman"/>
          <w:sz w:val="24"/>
          <w:szCs w:val="24"/>
        </w:rPr>
      </w:pPr>
    </w:p>
    <w:p w14:paraId="00000029" w14:textId="77777777" w:rsidR="00B65A7B" w:rsidRDefault="00000000">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Hay algunos puntos que, ya sea por estar tratados o sorprendentemente omitidos, consideramos relevantes para pensar:</w:t>
      </w:r>
    </w:p>
    <w:p w14:paraId="0000002A" w14:textId="77777777" w:rsidR="00B65A7B" w:rsidRDefault="00B65A7B">
      <w:pPr>
        <w:spacing w:line="360" w:lineRule="auto"/>
        <w:jc w:val="both"/>
        <w:rPr>
          <w:rFonts w:ascii="Times New Roman" w:eastAsia="Times New Roman" w:hAnsi="Times New Roman" w:cs="Times New Roman"/>
          <w:sz w:val="24"/>
          <w:szCs w:val="24"/>
          <w:highlight w:val="white"/>
        </w:rPr>
      </w:pPr>
    </w:p>
    <w:p w14:paraId="0000002B" w14:textId="77777777" w:rsidR="00B65A7B" w:rsidRDefault="00000000">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primer lugar, observamos que parece casi omitido el posicionamiento de </w:t>
      </w:r>
      <w:proofErr w:type="spellStart"/>
      <w:r>
        <w:rPr>
          <w:rFonts w:ascii="Times New Roman" w:eastAsia="Times New Roman" w:hAnsi="Times New Roman" w:cs="Times New Roman"/>
          <w:sz w:val="24"/>
          <w:szCs w:val="24"/>
          <w:highlight w:val="white"/>
        </w:rPr>
        <w:t>Naharín</w:t>
      </w:r>
      <w:proofErr w:type="spellEnd"/>
      <w:r>
        <w:rPr>
          <w:rFonts w:ascii="Times New Roman" w:eastAsia="Times New Roman" w:hAnsi="Times New Roman" w:cs="Times New Roman"/>
          <w:sz w:val="24"/>
          <w:szCs w:val="24"/>
          <w:highlight w:val="white"/>
        </w:rPr>
        <w:t xml:space="preserve"> con respecto al conflicto Israel-Palestina, aun cuando su trabajo se ve directamente afectado por un contexto de manifestaciones y boicots que lo instan a suspender sus espectáculos. En referencia a esta situación, dice </w:t>
      </w:r>
      <w:proofErr w:type="spellStart"/>
      <w:r>
        <w:rPr>
          <w:rFonts w:ascii="Times New Roman" w:eastAsia="Times New Roman" w:hAnsi="Times New Roman" w:cs="Times New Roman"/>
          <w:sz w:val="24"/>
          <w:szCs w:val="24"/>
          <w:highlight w:val="white"/>
        </w:rPr>
        <w:t>Naharín</w:t>
      </w:r>
      <w:proofErr w:type="spellEnd"/>
      <w:r>
        <w:rPr>
          <w:rFonts w:ascii="Times New Roman" w:eastAsia="Times New Roman" w:hAnsi="Times New Roman" w:cs="Times New Roman"/>
          <w:sz w:val="24"/>
          <w:szCs w:val="24"/>
          <w:highlight w:val="white"/>
        </w:rPr>
        <w:t xml:space="preserve"> en </w:t>
      </w:r>
      <w:proofErr w:type="spellStart"/>
      <w:r>
        <w:rPr>
          <w:rFonts w:ascii="Times New Roman" w:eastAsia="Times New Roman" w:hAnsi="Times New Roman" w:cs="Times New Roman"/>
          <w:i/>
          <w:sz w:val="24"/>
          <w:szCs w:val="24"/>
          <w:highlight w:val="white"/>
        </w:rPr>
        <w:t>Move</w:t>
      </w:r>
      <w:proofErr w:type="spellEnd"/>
      <w:r>
        <w:rPr>
          <w:rFonts w:ascii="Times New Roman" w:eastAsia="Times New Roman" w:hAnsi="Times New Roman" w:cs="Times New Roman"/>
          <w:sz w:val="24"/>
          <w:szCs w:val="24"/>
          <w:highlight w:val="white"/>
        </w:rPr>
        <w:t>: “En casi todos los lugares, fuera de Israel, nos enfrentamos a manifestaciones que piden boicotear nuestras funciones. A menudo digo que si boicotear mi show ayudara a la causa palestina, yo también lo haría (...) Quizá ayude a la gente que está protestando, a sentirse mejor, pero obviamente no tiene ningún efecto en el pueblo palestino”.</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 xml:space="preserve">La escena en la que se incluye este parlamento pretende ser tierna, familiar y empática ya que se encuentra jugando al ping-pong con su hija. En este sentido, nos preguntamos qué relación entre arte y política podría desprenderse de esto, tanto si consideramos la tibia inclusión de esta escena en referencia a la guerra, como también la decisión de no profundizar en el tratamiento de una temática tan compleja. Esta pregunta respecto a la relación entre arte y política podría trascender las decisiones </w:t>
      </w:r>
      <w:r>
        <w:rPr>
          <w:rFonts w:ascii="Times New Roman" w:eastAsia="Times New Roman" w:hAnsi="Times New Roman" w:cs="Times New Roman"/>
          <w:sz w:val="24"/>
          <w:szCs w:val="24"/>
          <w:highlight w:val="white"/>
        </w:rPr>
        <w:lastRenderedPageBreak/>
        <w:t xml:space="preserve">narratológicas de la serie y de la plataforma Netflix: podríamos pensarlo también en relación a la figura de </w:t>
      </w:r>
      <w:proofErr w:type="spellStart"/>
      <w:r>
        <w:rPr>
          <w:rFonts w:ascii="Times New Roman" w:eastAsia="Times New Roman" w:hAnsi="Times New Roman" w:cs="Times New Roman"/>
          <w:sz w:val="24"/>
          <w:szCs w:val="24"/>
          <w:highlight w:val="white"/>
        </w:rPr>
        <w:t>Ohad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Naharín</w:t>
      </w:r>
      <w:proofErr w:type="spellEnd"/>
      <w:r>
        <w:rPr>
          <w:rFonts w:ascii="Times New Roman" w:eastAsia="Times New Roman" w:hAnsi="Times New Roman" w:cs="Times New Roman"/>
          <w:sz w:val="24"/>
          <w:szCs w:val="24"/>
          <w:highlight w:val="white"/>
        </w:rPr>
        <w:t xml:space="preserve"> y su compañía. </w:t>
      </w:r>
    </w:p>
    <w:p w14:paraId="0000002C" w14:textId="77777777" w:rsidR="00B65A7B" w:rsidRDefault="00000000">
      <w:pPr>
        <w:spacing w:line="360" w:lineRule="auto"/>
        <w:jc w:val="both"/>
        <w:rPr>
          <w:rFonts w:ascii="Times New Roman" w:eastAsia="Times New Roman" w:hAnsi="Times New Roman" w:cs="Times New Roman"/>
          <w:color w:val="E69138"/>
          <w:sz w:val="24"/>
          <w:szCs w:val="24"/>
          <w:highlight w:val="white"/>
        </w:rPr>
      </w:pPr>
      <w:r>
        <w:rPr>
          <w:rFonts w:ascii="Times New Roman" w:eastAsia="Times New Roman" w:hAnsi="Times New Roman" w:cs="Times New Roman"/>
          <w:sz w:val="24"/>
          <w:szCs w:val="24"/>
          <w:highlight w:val="white"/>
        </w:rPr>
        <w:t xml:space="preserve">Por otro lado, en el capítulo pueden entreverse algunas definiciones en torno a los conceptos de danza y coreografía que nos resultan interesantes para analizar. Desde lo discursivo se presenta a la danza asociada al placer, e incluso el lenguaje Gaga aparece vinculado a reconectar con lo “instintivo del movimiento”. Los espacios en los que esta práctica se muestra (una sala de clase o ensayo, distintos escenarios), son espacios que usualmente alojan a la danza en su dimensión académica y/o manifestaciones dancísticas en las que -en términos de </w:t>
      </w:r>
      <w:proofErr w:type="spellStart"/>
      <w:r>
        <w:rPr>
          <w:rFonts w:ascii="Times New Roman" w:eastAsia="Times New Roman" w:hAnsi="Times New Roman" w:cs="Times New Roman"/>
          <w:sz w:val="24"/>
          <w:szCs w:val="24"/>
          <w:highlight w:val="white"/>
        </w:rPr>
        <w:t>Mukarovsky</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1977)–</w:t>
      </w:r>
      <w:r>
        <w:rPr>
          <w:rFonts w:ascii="Times New Roman" w:eastAsia="Times New Roman" w:hAnsi="Times New Roman" w:cs="Times New Roman"/>
          <w:sz w:val="24"/>
          <w:szCs w:val="24"/>
          <w:highlight w:val="white"/>
        </w:rPr>
        <w:t xml:space="preserve"> prima la función estética (es decir no la danza como ritual, </w:t>
      </w:r>
      <w:r>
        <w:rPr>
          <w:rFonts w:ascii="Times New Roman" w:eastAsia="Times New Roman" w:hAnsi="Times New Roman" w:cs="Times New Roman"/>
          <w:sz w:val="24"/>
          <w:szCs w:val="24"/>
        </w:rPr>
        <w:t>ni asociada a una práctica barrial y/o familiar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Este punto –la idea de danza que se entrevé como impulso genuino– es, quizá, uno de los que aparece más homogeneizado en la serie.</w:t>
      </w:r>
      <w:r>
        <w:rPr>
          <w:rFonts w:ascii="Times New Roman" w:eastAsia="Times New Roman" w:hAnsi="Times New Roman" w:cs="Times New Roman"/>
          <w:color w:val="E69138"/>
          <w:sz w:val="24"/>
          <w:szCs w:val="24"/>
          <w:highlight w:val="white"/>
        </w:rPr>
        <w:t xml:space="preserve"> </w:t>
      </w:r>
    </w:p>
    <w:p w14:paraId="0000002D" w14:textId="77777777" w:rsidR="00B65A7B" w:rsidRDefault="00000000">
      <w:pPr>
        <w:spacing w:line="360"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sz w:val="24"/>
          <w:szCs w:val="24"/>
        </w:rPr>
        <w:t xml:space="preserve">En cuanto a la noción de coreografía, en el capítulo aparece definida como el lenguaje –de movimiento– construido por el coreógrafo.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explica que el coreógrafo “necesita un lenguaje” y, en ese sentido, la técnica Gaga es definida como tal. En segundo lugar, la coreografía se propone como un lenguaje abstracto, </w:t>
      </w:r>
      <w:proofErr w:type="spellStart"/>
      <w:r>
        <w:rPr>
          <w:rFonts w:ascii="Times New Roman" w:eastAsia="Times New Roman" w:hAnsi="Times New Roman" w:cs="Times New Roman"/>
          <w:sz w:val="24"/>
          <w:szCs w:val="24"/>
        </w:rPr>
        <w:t>Naharín</w:t>
      </w:r>
      <w:proofErr w:type="spellEnd"/>
      <w:r>
        <w:rPr>
          <w:rFonts w:ascii="Times New Roman" w:eastAsia="Times New Roman" w:hAnsi="Times New Roman" w:cs="Times New Roman"/>
          <w:sz w:val="24"/>
          <w:szCs w:val="24"/>
        </w:rPr>
        <w:t xml:space="preserve"> no puede “explicarlo con palabras” ni sus </w:t>
      </w:r>
      <w:proofErr w:type="spellStart"/>
      <w:r>
        <w:rPr>
          <w:rFonts w:ascii="Times New Roman" w:eastAsia="Times New Roman" w:hAnsi="Times New Roman" w:cs="Times New Roman"/>
          <w:sz w:val="24"/>
          <w:szCs w:val="24"/>
        </w:rPr>
        <w:t>bailarinxs</w:t>
      </w:r>
      <w:proofErr w:type="spellEnd"/>
      <w:r>
        <w:rPr>
          <w:rFonts w:ascii="Times New Roman" w:eastAsia="Times New Roman" w:hAnsi="Times New Roman" w:cs="Times New Roman"/>
          <w:sz w:val="24"/>
          <w:szCs w:val="24"/>
        </w:rPr>
        <w:t xml:space="preserve"> dar cuenta de los conceptos que están por detrás de las obras/piezas coreográficas. Como un contrapunto del virtuosismo abstracto desde el que se concibe aquí la coreografía, podemos pensar en otra noción que aparece, por ejemplo, en el primer capítulo de la serie donde la danza funciona como vehículo de discursos sociales de denuncia y, para ello, las  coreografías tienden a la significación.</w:t>
      </w:r>
    </w:p>
    <w:p w14:paraId="0000002E" w14:textId="77777777" w:rsidR="00B65A7B" w:rsidRDefault="00000000">
      <w:pPr>
        <w:spacing w:line="360" w:lineRule="auto"/>
        <w:jc w:val="both"/>
        <w:rPr>
          <w:rFonts w:ascii="Arial" w:eastAsia="Arial" w:hAnsi="Arial" w:cs="Arial"/>
          <w:b/>
          <w:i/>
          <w:sz w:val="28"/>
          <w:szCs w:val="28"/>
        </w:rPr>
      </w:pPr>
      <w:r>
        <w:rPr>
          <w:rFonts w:ascii="Times New Roman" w:eastAsia="Times New Roman" w:hAnsi="Times New Roman" w:cs="Times New Roman"/>
          <w:color w:val="222222"/>
          <w:sz w:val="24"/>
          <w:szCs w:val="24"/>
        </w:rPr>
        <w:t xml:space="preserve">Como observamos, aquella trayectoria presente en otros capítulos, que muestra a la danza como un camino de salvación, en el capítulo sobre </w:t>
      </w:r>
      <w:proofErr w:type="spellStart"/>
      <w:r>
        <w:rPr>
          <w:rFonts w:ascii="Times New Roman" w:eastAsia="Times New Roman" w:hAnsi="Times New Roman" w:cs="Times New Roman"/>
          <w:color w:val="222222"/>
          <w:sz w:val="24"/>
          <w:szCs w:val="24"/>
        </w:rPr>
        <w:t>Ohad</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Naharin</w:t>
      </w:r>
      <w:proofErr w:type="spellEnd"/>
      <w:r>
        <w:rPr>
          <w:rFonts w:ascii="Times New Roman" w:eastAsia="Times New Roman" w:hAnsi="Times New Roman" w:cs="Times New Roman"/>
          <w:color w:val="222222"/>
          <w:sz w:val="24"/>
          <w:szCs w:val="24"/>
        </w:rPr>
        <w:t xml:space="preserve"> se presenta de manera invertida. Es decir, la posición hegemónica (pretendidamente neutral) de esta danza  –académica– aparece encarnando, en todo caso, la vía de salvación de las demás danzas y </w:t>
      </w:r>
      <w:proofErr w:type="spellStart"/>
      <w:r>
        <w:rPr>
          <w:rFonts w:ascii="Times New Roman" w:eastAsia="Times New Roman" w:hAnsi="Times New Roman" w:cs="Times New Roman"/>
          <w:color w:val="222222"/>
          <w:sz w:val="24"/>
          <w:szCs w:val="24"/>
        </w:rPr>
        <w:t>lxs</w:t>
      </w:r>
      <w:proofErr w:type="spellEnd"/>
      <w:r>
        <w:rPr>
          <w:rFonts w:ascii="Times New Roman" w:eastAsia="Times New Roman" w:hAnsi="Times New Roman" w:cs="Times New Roman"/>
          <w:color w:val="222222"/>
          <w:sz w:val="24"/>
          <w:szCs w:val="24"/>
        </w:rPr>
        <w:t xml:space="preserve"> demás artistas que aparecen en la pantalla.</w:t>
      </w:r>
    </w:p>
    <w:p w14:paraId="0000002F" w14:textId="77777777" w:rsidR="00B65A7B" w:rsidRDefault="00000000">
      <w:pPr>
        <w:numPr>
          <w:ilvl w:val="0"/>
          <w:numId w:val="2"/>
        </w:numPr>
        <w:pBdr>
          <w:top w:val="nil"/>
          <w:left w:val="nil"/>
          <w:bottom w:val="nil"/>
          <w:right w:val="nil"/>
          <w:between w:val="nil"/>
        </w:pBdr>
        <w:spacing w:before="480" w:after="240" w:line="276" w:lineRule="auto"/>
      </w:pPr>
      <w:r>
        <w:rPr>
          <w:rFonts w:ascii="Arial" w:eastAsia="Arial" w:hAnsi="Arial" w:cs="Arial"/>
          <w:b/>
          <w:i/>
          <w:color w:val="000000"/>
          <w:sz w:val="28"/>
          <w:szCs w:val="28"/>
        </w:rPr>
        <w:t>Capítulo 3: Israel Galván</w:t>
      </w:r>
    </w:p>
    <w:p w14:paraId="00000030"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 tercer capítulo inicia cuando se escucha la voz de Israel Galván definirse como un bailaor flamenco, un bailaor libre. “Flamenco: Forma de arte que se originó en Andalucía, sur de España, en el Siglo XVII” indica el cuadro siguiente, que organiza cada entrega de la serie </w:t>
      </w: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sz w:val="22"/>
          <w:szCs w:val="22"/>
        </w:rPr>
        <w:t xml:space="preserve">. Colisionan así dos definiciones sobre la práctica coreográfica del flamenco: la primera remite al laberinto del origen, un tiempo y lugar </w:t>
      </w:r>
      <w:r>
        <w:rPr>
          <w:rFonts w:ascii="Times New Roman" w:eastAsia="Times New Roman" w:hAnsi="Times New Roman" w:cs="Times New Roman"/>
          <w:sz w:val="22"/>
          <w:szCs w:val="22"/>
        </w:rPr>
        <w:lastRenderedPageBreak/>
        <w:t>particulares que traen consigo todo un universo simbólico –un territorio, una musicalidad, una comunidad–; por otro lado, Galván se afirma como un bailaor, distinguiéndose de la figura del bailarín como profesional formado por las academias y conserva el componente popular de una danza que es lengua viva de un pueblo. “Cuando nací los recuerdos que tengo yo son que el baile era como un amigo fantasma, no recuerdo un día sin bailar” dice Galván, situando a la danza del lado de la vida, como un “modo de existencia”, antes que una aprendizaje formal al resguardo de las instituciones del arte.</w:t>
      </w:r>
    </w:p>
    <w:p w14:paraId="00000031"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Hijo de una gitana y un bailaor español, Israel Galván de los Reyes ingresa a la escena pública siendo niño participante y ganador de masivos concursos y competiciones de flamenco. Su legitimidad, dada por el alcance de estos eventos, es puesta en crisis en el inicio del relato audiovisual. Su destreza en el flamenco está circunscrita a los archivos del pasado, esta expresión flamenca es narrada como la “infancia”, la noche de un lenguaje anterior a la emergencia de un nuevo repertorio coreográfico, que será el que la crítica de arte pondrá en valor. Esta ruptura entre tradición/modernidad será la gran protagonista del capítulo. Por un lado, la infancia, la comunidad gitana, la tradición, la “barbarie” que es representada en los padres, quienes ignoran la nueva fase del artista, “lo que Israel hace ahora, no lo entendía” explica el padre. Por otro, las instituciones del arte, principalmente francesas (país en el que Galván tiene una importante recepción) son representadas por las voces de </w:t>
      </w:r>
      <w:proofErr w:type="spellStart"/>
      <w:r>
        <w:rPr>
          <w:rFonts w:ascii="Times New Roman" w:eastAsia="Times New Roman" w:hAnsi="Times New Roman" w:cs="Times New Roman"/>
          <w:sz w:val="22"/>
          <w:szCs w:val="22"/>
        </w:rPr>
        <w:t>Carole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Fierz</w:t>
      </w:r>
      <w:proofErr w:type="spellEnd"/>
      <w:r>
        <w:rPr>
          <w:rFonts w:ascii="Times New Roman" w:eastAsia="Times New Roman" w:hAnsi="Times New Roman" w:cs="Times New Roman"/>
          <w:sz w:val="22"/>
          <w:szCs w:val="22"/>
        </w:rPr>
        <w:t>, Chema Blanco y Pedro Romero quienes fueran productores o colaboradores del artista durante algún tiempo.</w:t>
      </w:r>
    </w:p>
    <w:p w14:paraId="00000032"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Afirma este último: “Triunfar ahí –en la comunidad flamenca– no significa nada, significa ser una especie de payaso”. Tal pronunciamiento pone de manifiesto una asimetría entre estos universos, en el cual los centros de legitimación del arte caracterizan las prácticas dancísticas de otros pueblos, y por ende la significación que al interior de su comunidad le otorgan, como una instancia pre-moderna, </w:t>
      </w:r>
      <w:proofErr w:type="spellStart"/>
      <w:r>
        <w:rPr>
          <w:rFonts w:ascii="Times New Roman" w:eastAsia="Times New Roman" w:hAnsi="Times New Roman" w:cs="Times New Roman"/>
          <w:sz w:val="22"/>
          <w:szCs w:val="22"/>
        </w:rPr>
        <w:t>pre-artística</w:t>
      </w:r>
      <w:proofErr w:type="spellEnd"/>
      <w:r>
        <w:rPr>
          <w:rFonts w:ascii="Times New Roman" w:eastAsia="Times New Roman" w:hAnsi="Times New Roman" w:cs="Times New Roman"/>
          <w:sz w:val="22"/>
          <w:szCs w:val="22"/>
        </w:rPr>
        <w:t>, donde carece de sentido permanecer (“triunfar ahí no significa nada”), y de hacerlo, solo es posible como un espectáculo (ser un “payaso”) que nada tiene que ver con la “dimensión inteligible” propiedad del arte.  Didi-</w:t>
      </w:r>
      <w:proofErr w:type="spellStart"/>
      <w:r>
        <w:rPr>
          <w:rFonts w:ascii="Times New Roman" w:eastAsia="Times New Roman" w:hAnsi="Times New Roman" w:cs="Times New Roman"/>
          <w:sz w:val="22"/>
          <w:szCs w:val="22"/>
        </w:rPr>
        <w:t>Huberman</w:t>
      </w:r>
      <w:proofErr w:type="spellEnd"/>
      <w:r>
        <w:rPr>
          <w:rFonts w:ascii="Times New Roman" w:eastAsia="Times New Roman" w:hAnsi="Times New Roman" w:cs="Times New Roman"/>
          <w:sz w:val="22"/>
          <w:szCs w:val="22"/>
        </w:rPr>
        <w:t xml:space="preserve"> describe el espíritu con que muchos críticos interpretan la obra de Galván del siguiente modo: “El baile flamenco emociona a menudo al público occidental burgués –el más arrogante, que nada conoce de este arte pero posee «ya elaboradas las teorías del arte» en general y los modelos de su devenir para juzgar cuanto se ponga a su alcance- (…)” (Didi-</w:t>
      </w:r>
      <w:proofErr w:type="spellStart"/>
      <w:r>
        <w:rPr>
          <w:rFonts w:ascii="Times New Roman" w:eastAsia="Times New Roman" w:hAnsi="Times New Roman" w:cs="Times New Roman"/>
          <w:sz w:val="22"/>
          <w:szCs w:val="22"/>
        </w:rPr>
        <w:t>Huberman</w:t>
      </w:r>
      <w:proofErr w:type="spellEnd"/>
      <w:r>
        <w:rPr>
          <w:rFonts w:ascii="Times New Roman" w:eastAsia="Times New Roman" w:hAnsi="Times New Roman" w:cs="Times New Roman"/>
          <w:sz w:val="22"/>
          <w:szCs w:val="22"/>
        </w:rPr>
        <w:t>, 2008: 19).</w:t>
      </w:r>
    </w:p>
    <w:p w14:paraId="00000033"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ninguno de estos polos tradición/modernidad, teatro/plaza, arte popular/arte culto, está Israel Galván, quien considera que tiene la “sangre sucia”, que ha hecho del flamenco su modo de estar en el mundo. Nacido en el epicentro de la cultura flamenca, el bailaor </w:t>
      </w:r>
      <w:proofErr w:type="spellStart"/>
      <w:r>
        <w:rPr>
          <w:rFonts w:ascii="Times New Roman" w:eastAsia="Times New Roman" w:hAnsi="Times New Roman" w:cs="Times New Roman"/>
          <w:sz w:val="22"/>
          <w:szCs w:val="22"/>
        </w:rPr>
        <w:t>critica</w:t>
      </w:r>
      <w:proofErr w:type="spellEnd"/>
      <w:r>
        <w:rPr>
          <w:rFonts w:ascii="Times New Roman" w:eastAsia="Times New Roman" w:hAnsi="Times New Roman" w:cs="Times New Roman"/>
          <w:sz w:val="22"/>
          <w:szCs w:val="22"/>
        </w:rPr>
        <w:t xml:space="preserve"> y  cuestiona las normas heredadas. Desde su coreografía, transgrede los roles de género, explora nuevas posturas corporales, juegos rítmicos y espaciales. Baila con objetos, intercambia cantes con </w:t>
      </w:r>
      <w:proofErr w:type="spellStart"/>
      <w:r>
        <w:rPr>
          <w:rFonts w:ascii="Times New Roman" w:eastAsia="Times New Roman" w:hAnsi="Times New Roman" w:cs="Times New Roman"/>
          <w:sz w:val="22"/>
          <w:szCs w:val="22"/>
        </w:rPr>
        <w:t>otrxs</w:t>
      </w:r>
      <w:proofErr w:type="spellEnd"/>
      <w:r>
        <w:rPr>
          <w:rFonts w:ascii="Times New Roman" w:eastAsia="Times New Roman" w:hAnsi="Times New Roman" w:cs="Times New Roman"/>
          <w:sz w:val="22"/>
          <w:szCs w:val="22"/>
        </w:rPr>
        <w:t xml:space="preserve"> artistas y reorganiza las formaciones del tablado en su escenario. En este sentido enuncia Galván: “La única manera de sobrevivir bailando era inventarme </w:t>
      </w:r>
      <w:r>
        <w:rPr>
          <w:rFonts w:ascii="Times New Roman" w:eastAsia="Times New Roman" w:hAnsi="Times New Roman" w:cs="Times New Roman"/>
          <w:sz w:val="22"/>
          <w:szCs w:val="22"/>
        </w:rPr>
        <w:lastRenderedPageBreak/>
        <w:t xml:space="preserve">un lenguaje mío”. Decepcionando las expectativas del -primer- público, toma toda libertad para </w:t>
      </w:r>
      <w:proofErr w:type="spellStart"/>
      <w:r>
        <w:rPr>
          <w:rFonts w:ascii="Times New Roman" w:eastAsia="Times New Roman" w:hAnsi="Times New Roman" w:cs="Times New Roman"/>
          <w:sz w:val="22"/>
          <w:szCs w:val="22"/>
        </w:rPr>
        <w:t>reimaginar</w:t>
      </w:r>
      <w:proofErr w:type="spellEnd"/>
      <w:r>
        <w:rPr>
          <w:rFonts w:ascii="Times New Roman" w:eastAsia="Times New Roman" w:hAnsi="Times New Roman" w:cs="Times New Roman"/>
          <w:sz w:val="22"/>
          <w:szCs w:val="22"/>
        </w:rPr>
        <w:t xml:space="preserve"> el flamenco desde su coreografía y su danza.</w:t>
      </w:r>
    </w:p>
    <w:p w14:paraId="00000034" w14:textId="77777777" w:rsidR="00B65A7B" w:rsidRDefault="00000000">
      <w:pPr>
        <w:spacing w:line="360" w:lineRule="auto"/>
        <w:jc w:val="both"/>
        <w:rPr>
          <w:rFonts w:ascii="Arial" w:eastAsia="Arial" w:hAnsi="Arial" w:cs="Arial"/>
          <w:b/>
          <w:i/>
          <w:sz w:val="28"/>
          <w:szCs w:val="28"/>
        </w:rPr>
      </w:pPr>
      <w:r>
        <w:rPr>
          <w:rFonts w:ascii="Times New Roman" w:eastAsia="Times New Roman" w:hAnsi="Times New Roman" w:cs="Times New Roman"/>
          <w:sz w:val="22"/>
          <w:szCs w:val="22"/>
        </w:rPr>
        <w:t>Libertad, excelencia y escándalo son las matrices ideológicas y binarias de la salvación modernizadora sobre las que la plataforma Netflix narra la trayectoria de Galván, que a pesar de todo ello, consigue escapar a ser explicada bajo estas normas.</w:t>
      </w:r>
    </w:p>
    <w:p w14:paraId="00000035" w14:textId="77777777" w:rsidR="00B65A7B" w:rsidRDefault="00000000">
      <w:pPr>
        <w:numPr>
          <w:ilvl w:val="0"/>
          <w:numId w:val="2"/>
        </w:numPr>
        <w:pBdr>
          <w:top w:val="nil"/>
          <w:left w:val="nil"/>
          <w:bottom w:val="nil"/>
          <w:right w:val="nil"/>
          <w:between w:val="nil"/>
        </w:pBdr>
        <w:spacing w:before="480" w:after="240" w:line="276" w:lineRule="auto"/>
      </w:pPr>
      <w:r>
        <w:rPr>
          <w:rFonts w:ascii="Arial" w:eastAsia="Arial" w:hAnsi="Arial" w:cs="Arial"/>
          <w:b/>
          <w:i/>
          <w:color w:val="000000"/>
          <w:sz w:val="28"/>
          <w:szCs w:val="28"/>
        </w:rPr>
        <w:t xml:space="preserve">Capítulo 4: Kimiko </w:t>
      </w:r>
      <w:proofErr w:type="spellStart"/>
      <w:r>
        <w:rPr>
          <w:rFonts w:ascii="Arial" w:eastAsia="Arial" w:hAnsi="Arial" w:cs="Arial"/>
          <w:b/>
          <w:i/>
          <w:color w:val="000000"/>
          <w:sz w:val="28"/>
          <w:szCs w:val="28"/>
        </w:rPr>
        <w:t>Versatile</w:t>
      </w:r>
      <w:proofErr w:type="spellEnd"/>
    </w:p>
    <w:p w14:paraId="00000036"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Este capítulo dedicado a la única mujer “retratada” (como dicen los directores) de la serie, se concentra en la figura de Kimiko </w:t>
      </w:r>
      <w:proofErr w:type="spellStart"/>
      <w:r>
        <w:rPr>
          <w:rFonts w:ascii="Times New Roman" w:eastAsia="Times New Roman" w:hAnsi="Times New Roman" w:cs="Times New Roman"/>
          <w:sz w:val="22"/>
          <w:szCs w:val="22"/>
        </w:rPr>
        <w:t>Versatile</w:t>
      </w:r>
      <w:proofErr w:type="spellEnd"/>
      <w:r>
        <w:rPr>
          <w:rFonts w:ascii="Times New Roman" w:eastAsia="Times New Roman" w:hAnsi="Times New Roman" w:cs="Times New Roman"/>
          <w:sz w:val="22"/>
          <w:szCs w:val="22"/>
        </w:rPr>
        <w:t xml:space="preserve">, a quién no se la presenta como coreógrafa, sino como una bailarina que está revolucionando el ambiente/mundo del </w:t>
      </w:r>
      <w:proofErr w:type="spellStart"/>
      <w:r>
        <w:rPr>
          <w:rFonts w:ascii="Times New Roman" w:eastAsia="Times New Roman" w:hAnsi="Times New Roman" w:cs="Times New Roman"/>
          <w:i/>
          <w:sz w:val="22"/>
          <w:szCs w:val="22"/>
        </w:rPr>
        <w:t>dancehall</w:t>
      </w:r>
      <w:proofErr w:type="spellEnd"/>
      <w:r>
        <w:rPr>
          <w:rFonts w:ascii="Times New Roman" w:eastAsia="Times New Roman" w:hAnsi="Times New Roman" w:cs="Times New Roman"/>
          <w:sz w:val="22"/>
          <w:szCs w:val="22"/>
        </w:rPr>
        <w:t xml:space="preserve"> (que se define como parte de la cultura popular de Jamaica, específicamente en la ciudad de Kingston). </w:t>
      </w:r>
    </w:p>
    <w:p w14:paraId="00000037"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Siguiendo el relato común, se muestra un recorrido por la vida de Kimiko en la que la danza funciona como motor de evolución y progreso en una vida que va desde la pobreza extrema a la estabilidad económica y el reconocimiento del trabajo y esfuerzo a nivel internacional.</w:t>
      </w:r>
    </w:p>
    <w:p w14:paraId="00000038"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Curiosamente, en este capítulo en particular, a pesar de que Kimiko se presenta como empresaria y coreógrafa que lleva su cultura a otros continentes, el relato se mantiene en la descripción de los espacios de “pobreza” por los que se mueve el personaje, en este sentido, podemos ver una lectura </w:t>
      </w:r>
      <w:proofErr w:type="spellStart"/>
      <w:r>
        <w:rPr>
          <w:rFonts w:ascii="Times New Roman" w:eastAsia="Times New Roman" w:hAnsi="Times New Roman" w:cs="Times New Roman"/>
          <w:sz w:val="22"/>
          <w:szCs w:val="22"/>
        </w:rPr>
        <w:t>exotizante</w:t>
      </w:r>
      <w:proofErr w:type="spellEnd"/>
      <w:r>
        <w:rPr>
          <w:rFonts w:ascii="Times New Roman" w:eastAsia="Times New Roman" w:hAnsi="Times New Roman" w:cs="Times New Roman"/>
          <w:sz w:val="22"/>
          <w:szCs w:val="22"/>
        </w:rPr>
        <w:t xml:space="preserve"> de la biografía de la única “retratada” latinoamericana. Un dato que refuerza esto, es que ella asegura que desde que el </w:t>
      </w:r>
      <w:proofErr w:type="spellStart"/>
      <w:r>
        <w:rPr>
          <w:rFonts w:ascii="Times New Roman" w:eastAsia="Times New Roman" w:hAnsi="Times New Roman" w:cs="Times New Roman"/>
          <w:sz w:val="22"/>
          <w:szCs w:val="22"/>
        </w:rPr>
        <w:t>dancehall</w:t>
      </w:r>
      <w:proofErr w:type="spellEnd"/>
      <w:r>
        <w:rPr>
          <w:rFonts w:ascii="Times New Roman" w:eastAsia="Times New Roman" w:hAnsi="Times New Roman" w:cs="Times New Roman"/>
          <w:sz w:val="22"/>
          <w:szCs w:val="22"/>
        </w:rPr>
        <w:t xml:space="preserve"> ha cobrado reconocimiento, muchas turistas que viajan a Jamaica para asistir a sus clases, le piden hacer las prácticas en el gueto. Ella dice: “me piden ir al gueto, quieren vivir la experiencia”. En este sentido, hay una relación entre la mirada </w:t>
      </w:r>
      <w:proofErr w:type="spellStart"/>
      <w:r>
        <w:rPr>
          <w:rFonts w:ascii="Times New Roman" w:eastAsia="Times New Roman" w:hAnsi="Times New Roman" w:cs="Times New Roman"/>
          <w:sz w:val="22"/>
          <w:szCs w:val="22"/>
        </w:rPr>
        <w:t>exotizante</w:t>
      </w:r>
      <w:proofErr w:type="spellEnd"/>
      <w:r>
        <w:rPr>
          <w:rFonts w:ascii="Times New Roman" w:eastAsia="Times New Roman" w:hAnsi="Times New Roman" w:cs="Times New Roman"/>
          <w:sz w:val="22"/>
          <w:szCs w:val="22"/>
        </w:rPr>
        <w:t xml:space="preserve">, principalmente marcada en los modos de presentarla como la bailarina que habita la pobreza, que sobrevive al gueto y la opresión masculina en las pistas de baile, que no complejiza otros aspectos de su vida. Esta </w:t>
      </w:r>
      <w:proofErr w:type="spellStart"/>
      <w:r>
        <w:rPr>
          <w:rFonts w:ascii="Times New Roman" w:eastAsia="Times New Roman" w:hAnsi="Times New Roman" w:cs="Times New Roman"/>
          <w:sz w:val="22"/>
          <w:szCs w:val="22"/>
        </w:rPr>
        <w:t>exotización</w:t>
      </w:r>
      <w:proofErr w:type="spellEnd"/>
      <w:r>
        <w:rPr>
          <w:rFonts w:ascii="Times New Roman" w:eastAsia="Times New Roman" w:hAnsi="Times New Roman" w:cs="Times New Roman"/>
          <w:sz w:val="22"/>
          <w:szCs w:val="22"/>
        </w:rPr>
        <w:t xml:space="preserve"> se aprecia, entre otras, en la escena en la que aparecen “los hombres”, donde se muestra desde una toma cercana a los chicos fumando marihuana, los cual es un fetiche por excelencia cuando a Jamaica se refiere.   </w:t>
      </w:r>
    </w:p>
    <w:p w14:paraId="00000039"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un momento del capítulo, en un intento de  legitimación de su danza, se recurre a la voz autorizada encarnada en la socióloga Stanley </w:t>
      </w:r>
      <w:proofErr w:type="spellStart"/>
      <w:r>
        <w:rPr>
          <w:rFonts w:ascii="Times New Roman" w:eastAsia="Times New Roman" w:hAnsi="Times New Roman" w:cs="Times New Roman"/>
          <w:sz w:val="22"/>
          <w:szCs w:val="22"/>
        </w:rPr>
        <w:t>Niaah</w:t>
      </w:r>
      <w:proofErr w:type="spellEnd"/>
      <w:r>
        <w:rPr>
          <w:rFonts w:ascii="Times New Roman" w:eastAsia="Times New Roman" w:hAnsi="Times New Roman" w:cs="Times New Roman"/>
          <w:sz w:val="22"/>
          <w:szCs w:val="22"/>
        </w:rPr>
        <w:t xml:space="preserve">, quien afirma que el </w:t>
      </w:r>
      <w:proofErr w:type="spellStart"/>
      <w:r>
        <w:rPr>
          <w:rFonts w:ascii="Times New Roman" w:eastAsia="Times New Roman" w:hAnsi="Times New Roman" w:cs="Times New Roman"/>
          <w:i/>
          <w:sz w:val="22"/>
          <w:szCs w:val="22"/>
        </w:rPr>
        <w:t>dancehall</w:t>
      </w:r>
      <w:proofErr w:type="spellEnd"/>
      <w:r>
        <w:rPr>
          <w:rFonts w:ascii="Times New Roman" w:eastAsia="Times New Roman" w:hAnsi="Times New Roman" w:cs="Times New Roman"/>
          <w:sz w:val="22"/>
          <w:szCs w:val="22"/>
        </w:rPr>
        <w:t xml:space="preserve">, a pesar de ser una danza urbana, tiene aspectos muy académicos. Para profundizar esto, se resalta la formación como coreógrafa de la bailarina, para ello se recurre a la figura de la “maestra de danza” </w:t>
      </w:r>
      <w:proofErr w:type="spellStart"/>
      <w:r>
        <w:rPr>
          <w:rFonts w:ascii="Times New Roman" w:eastAsia="Times New Roman" w:hAnsi="Times New Roman" w:cs="Times New Roman"/>
          <w:sz w:val="22"/>
          <w:szCs w:val="22"/>
        </w:rPr>
        <w:t>L´Antoinette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Stine</w:t>
      </w:r>
      <w:proofErr w:type="spellEnd"/>
      <w:r>
        <w:rPr>
          <w:rFonts w:ascii="Times New Roman" w:eastAsia="Times New Roman" w:hAnsi="Times New Roman" w:cs="Times New Roman"/>
          <w:sz w:val="22"/>
          <w:szCs w:val="22"/>
        </w:rPr>
        <w:t xml:space="preserve">, quien propone y defiende el </w:t>
      </w:r>
      <w:proofErr w:type="spellStart"/>
      <w:r>
        <w:rPr>
          <w:rFonts w:ascii="Times New Roman" w:eastAsia="Times New Roman" w:hAnsi="Times New Roman" w:cs="Times New Roman"/>
          <w:i/>
          <w:sz w:val="22"/>
          <w:szCs w:val="22"/>
        </w:rPr>
        <w:t>dancehall</w:t>
      </w:r>
      <w:proofErr w:type="spellEnd"/>
      <w:r>
        <w:rPr>
          <w:rFonts w:ascii="Times New Roman" w:eastAsia="Times New Roman" w:hAnsi="Times New Roman" w:cs="Times New Roman"/>
          <w:sz w:val="22"/>
          <w:szCs w:val="22"/>
        </w:rPr>
        <w:t xml:space="preserve"> en una escena en que las cámaras enfocan sus fotografías como bailarina de la técnica Graham. </w:t>
      </w:r>
    </w:p>
    <w:p w14:paraId="0000003A"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Kimiko se define como una chica de campo, que viaja a la ciudad, en la ciudad se mueve en el gueto (que es donde se practica </w:t>
      </w:r>
      <w:proofErr w:type="spellStart"/>
      <w:r>
        <w:rPr>
          <w:rFonts w:ascii="Times New Roman" w:eastAsia="Times New Roman" w:hAnsi="Times New Roman" w:cs="Times New Roman"/>
          <w:i/>
          <w:sz w:val="22"/>
          <w:szCs w:val="22"/>
        </w:rPr>
        <w:t>dancehall</w:t>
      </w:r>
      <w:proofErr w:type="spellEnd"/>
      <w:r>
        <w:rPr>
          <w:rFonts w:ascii="Times New Roman" w:eastAsia="Times New Roman" w:hAnsi="Times New Roman" w:cs="Times New Roman"/>
          <w:sz w:val="22"/>
          <w:szCs w:val="22"/>
        </w:rPr>
        <w:t xml:space="preserve">) y luego desde Jamaica sale al mundo. Pero el capítulo no la muestra en esta </w:t>
      </w:r>
      <w:r>
        <w:rPr>
          <w:rFonts w:ascii="Times New Roman" w:eastAsia="Times New Roman" w:hAnsi="Times New Roman" w:cs="Times New Roman"/>
          <w:sz w:val="22"/>
          <w:szCs w:val="22"/>
        </w:rPr>
        <w:lastRenderedPageBreak/>
        <w:t>última etapa de su vida. El documental no avanza más allá en las complejidades de un personaje que tensiona constantemente el discurso elitista, academicista y homogeneizador de la serie. Siempre resalta que el</w:t>
      </w:r>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dancehall</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es una danza en la que las mujeres asumen un rol de disputa de los parámetros eróticos y sexuales que las han convertido en objeto, a través de la intensificación y la apropiación encarnada de esos discursos.</w:t>
      </w:r>
    </w:p>
    <w:p w14:paraId="0000003B"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Investigando la página de </w:t>
      </w:r>
      <w:proofErr w:type="spellStart"/>
      <w:r>
        <w:rPr>
          <w:rFonts w:ascii="Times New Roman" w:eastAsia="Times New Roman" w:hAnsi="Times New Roman" w:cs="Times New Roman"/>
          <w:i/>
          <w:sz w:val="22"/>
          <w:szCs w:val="22"/>
        </w:rPr>
        <w:t>youtube</w:t>
      </w:r>
      <w:proofErr w:type="spellEnd"/>
      <w:r>
        <w:rPr>
          <w:rFonts w:ascii="Times New Roman" w:eastAsia="Times New Roman" w:hAnsi="Times New Roman" w:cs="Times New Roman"/>
          <w:sz w:val="22"/>
          <w:szCs w:val="22"/>
        </w:rPr>
        <w:t xml:space="preserve"> de Kimiko, pudimos ver otras entrevistas en las que da una lista de artistas, principalmente músicas de fama mundial, con quienes ha trabajado o colaborado entre los que aparecen nombres como: </w:t>
      </w:r>
      <w:proofErr w:type="spellStart"/>
      <w:r>
        <w:rPr>
          <w:rFonts w:ascii="Times New Roman" w:eastAsia="Times New Roman" w:hAnsi="Times New Roman" w:cs="Times New Roman"/>
          <w:sz w:val="22"/>
          <w:szCs w:val="22"/>
        </w:rPr>
        <w:t>Beyonce</w:t>
      </w:r>
      <w:proofErr w:type="spellEnd"/>
      <w:r>
        <w:rPr>
          <w:rFonts w:ascii="Times New Roman" w:eastAsia="Times New Roman" w:hAnsi="Times New Roman" w:cs="Times New Roman"/>
          <w:sz w:val="22"/>
          <w:szCs w:val="22"/>
        </w:rPr>
        <w:t xml:space="preserve">, Jason </w:t>
      </w:r>
      <w:proofErr w:type="spellStart"/>
      <w:r>
        <w:rPr>
          <w:rFonts w:ascii="Times New Roman" w:eastAsia="Times New Roman" w:hAnsi="Times New Roman" w:cs="Times New Roman"/>
          <w:sz w:val="22"/>
          <w:szCs w:val="22"/>
        </w:rPr>
        <w:t>Derulo</w:t>
      </w:r>
      <w:proofErr w:type="spellEnd"/>
      <w:r>
        <w:rPr>
          <w:rFonts w:ascii="Times New Roman" w:eastAsia="Times New Roman" w:hAnsi="Times New Roman" w:cs="Times New Roman"/>
          <w:sz w:val="22"/>
          <w:szCs w:val="22"/>
        </w:rPr>
        <w:t xml:space="preserve">, Sean </w:t>
      </w:r>
      <w:proofErr w:type="spellStart"/>
      <w:r>
        <w:rPr>
          <w:rFonts w:ascii="Times New Roman" w:eastAsia="Times New Roman" w:hAnsi="Times New Roman" w:cs="Times New Roman"/>
          <w:sz w:val="22"/>
          <w:szCs w:val="22"/>
        </w:rPr>
        <w:t>paul</w:t>
      </w:r>
      <w:proofErr w:type="spellEnd"/>
      <w:r>
        <w:rPr>
          <w:rFonts w:ascii="Times New Roman" w:eastAsia="Times New Roman" w:hAnsi="Times New Roman" w:cs="Times New Roman"/>
          <w:sz w:val="22"/>
          <w:szCs w:val="22"/>
        </w:rPr>
        <w:t xml:space="preserve">, entre </w:t>
      </w:r>
      <w:proofErr w:type="spellStart"/>
      <w:r>
        <w:rPr>
          <w:rFonts w:ascii="Times New Roman" w:eastAsia="Times New Roman" w:hAnsi="Times New Roman" w:cs="Times New Roman"/>
          <w:sz w:val="22"/>
          <w:szCs w:val="22"/>
        </w:rPr>
        <w:t>otrxs</w:t>
      </w:r>
      <w:proofErr w:type="spellEnd"/>
      <w:r>
        <w:rPr>
          <w:rFonts w:ascii="Times New Roman" w:eastAsia="Times New Roman" w:hAnsi="Times New Roman" w:cs="Times New Roman"/>
          <w:sz w:val="22"/>
          <w:szCs w:val="22"/>
        </w:rPr>
        <w:t xml:space="preserve">. Además, cuenta que es una empresaria, que vive del </w:t>
      </w:r>
      <w:proofErr w:type="spellStart"/>
      <w:r>
        <w:rPr>
          <w:rFonts w:ascii="Times New Roman" w:eastAsia="Times New Roman" w:hAnsi="Times New Roman" w:cs="Times New Roman"/>
          <w:i/>
          <w:sz w:val="22"/>
          <w:szCs w:val="22"/>
        </w:rPr>
        <w:t>dancehall</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y que se considera embajadora cultural de su país en el exterior porque viaja por el mundo impartiendo clases. </w:t>
      </w:r>
    </w:p>
    <w:p w14:paraId="0000003C"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Además, la marca </w:t>
      </w:r>
      <w:r>
        <w:rPr>
          <w:rFonts w:ascii="Times New Roman" w:eastAsia="Times New Roman" w:hAnsi="Times New Roman" w:cs="Times New Roman"/>
          <w:i/>
          <w:sz w:val="22"/>
          <w:szCs w:val="22"/>
        </w:rPr>
        <w:t>Adidas</w:t>
      </w:r>
      <w:r>
        <w:rPr>
          <w:rFonts w:ascii="Times New Roman" w:eastAsia="Times New Roman" w:hAnsi="Times New Roman" w:cs="Times New Roman"/>
          <w:sz w:val="22"/>
          <w:szCs w:val="22"/>
        </w:rPr>
        <w:t xml:space="preserve">, en vínculo con la diseñadora gráfica Robyn </w:t>
      </w:r>
      <w:proofErr w:type="spellStart"/>
      <w:r>
        <w:rPr>
          <w:rFonts w:ascii="Times New Roman" w:eastAsia="Times New Roman" w:hAnsi="Times New Roman" w:cs="Times New Roman"/>
          <w:sz w:val="22"/>
          <w:szCs w:val="22"/>
        </w:rPr>
        <w:t>Clay</w:t>
      </w:r>
      <w:proofErr w:type="spellEnd"/>
      <w:r>
        <w:rPr>
          <w:rFonts w:ascii="Times New Roman" w:eastAsia="Times New Roman" w:hAnsi="Times New Roman" w:cs="Times New Roman"/>
          <w:sz w:val="22"/>
          <w:szCs w:val="22"/>
        </w:rPr>
        <w:t xml:space="preserve">, dedicó una colección de ropa en la que se estampó uno de sus pasos llamado </w:t>
      </w:r>
      <w:proofErr w:type="spellStart"/>
      <w:r>
        <w:rPr>
          <w:rFonts w:ascii="Times New Roman" w:eastAsia="Times New Roman" w:hAnsi="Times New Roman" w:cs="Times New Roman"/>
          <w:i/>
          <w:sz w:val="22"/>
          <w:szCs w:val="22"/>
        </w:rPr>
        <w:t>watchipums</w:t>
      </w:r>
      <w:proofErr w:type="spellEnd"/>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Entre otras cosas, dirige cuatro compañías, a las que les pone el nombre de “Les </w:t>
      </w:r>
      <w:proofErr w:type="spellStart"/>
      <w:r>
        <w:rPr>
          <w:rFonts w:ascii="Times New Roman" w:eastAsia="Times New Roman" w:hAnsi="Times New Roman" w:cs="Times New Roman"/>
          <w:sz w:val="22"/>
          <w:szCs w:val="22"/>
        </w:rPr>
        <w:t>Versatilles</w:t>
      </w:r>
      <w:proofErr w:type="spellEnd"/>
      <w:r>
        <w:rPr>
          <w:rFonts w:ascii="Times New Roman" w:eastAsia="Times New Roman" w:hAnsi="Times New Roman" w:cs="Times New Roman"/>
          <w:sz w:val="22"/>
          <w:szCs w:val="22"/>
        </w:rPr>
        <w:t xml:space="preserve">” 1, 2, 3…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xml:space="preserve">, como corresponda. Y las define como grupos que expanden sus conocimientos a los cuales ella lidera porque no se considera una jefa si no una líder, que impulsa el crecimiento personal de quienes forman estos grupos. </w:t>
      </w:r>
    </w:p>
    <w:p w14:paraId="0000003D" w14:textId="77777777" w:rsidR="00B65A7B" w:rsidRDefault="00000000">
      <w:pPr>
        <w:numPr>
          <w:ilvl w:val="0"/>
          <w:numId w:val="2"/>
        </w:numPr>
        <w:pBdr>
          <w:top w:val="nil"/>
          <w:left w:val="nil"/>
          <w:bottom w:val="nil"/>
          <w:right w:val="nil"/>
          <w:between w:val="nil"/>
        </w:pBdr>
        <w:spacing w:before="480" w:after="240" w:line="276" w:lineRule="auto"/>
      </w:pPr>
      <w:r>
        <w:rPr>
          <w:rFonts w:ascii="Arial" w:eastAsia="Arial" w:hAnsi="Arial" w:cs="Arial"/>
          <w:b/>
          <w:i/>
          <w:color w:val="000000"/>
          <w:sz w:val="28"/>
          <w:szCs w:val="28"/>
        </w:rPr>
        <w:t xml:space="preserve">Capítulo 5: </w:t>
      </w:r>
      <w:proofErr w:type="spellStart"/>
      <w:r>
        <w:rPr>
          <w:rFonts w:ascii="Arial" w:eastAsia="Arial" w:hAnsi="Arial" w:cs="Arial"/>
          <w:b/>
          <w:i/>
          <w:color w:val="000000"/>
          <w:sz w:val="28"/>
          <w:szCs w:val="28"/>
        </w:rPr>
        <w:t>Akram</w:t>
      </w:r>
      <w:proofErr w:type="spellEnd"/>
      <w:r>
        <w:rPr>
          <w:rFonts w:ascii="Arial" w:eastAsia="Arial" w:hAnsi="Arial" w:cs="Arial"/>
          <w:b/>
          <w:i/>
          <w:color w:val="000000"/>
          <w:sz w:val="28"/>
          <w:szCs w:val="28"/>
        </w:rPr>
        <w:t xml:space="preserve"> Khan</w:t>
      </w:r>
    </w:p>
    <w:p w14:paraId="0000003E"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 último capítulo está dedicado al coreógrafo y bailarín británico-bangladesí </w:t>
      </w:r>
      <w:proofErr w:type="spellStart"/>
      <w:r>
        <w:rPr>
          <w:rFonts w:ascii="Times New Roman" w:eastAsia="Times New Roman" w:hAnsi="Times New Roman" w:cs="Times New Roman"/>
          <w:sz w:val="22"/>
          <w:szCs w:val="22"/>
        </w:rPr>
        <w:t>Akram</w:t>
      </w:r>
      <w:proofErr w:type="spellEnd"/>
      <w:r>
        <w:rPr>
          <w:rFonts w:ascii="Times New Roman" w:eastAsia="Times New Roman" w:hAnsi="Times New Roman" w:cs="Times New Roman"/>
          <w:sz w:val="22"/>
          <w:szCs w:val="22"/>
        </w:rPr>
        <w:t xml:space="preserve"> Khan, quien inicia con la declaración “mi lengua madre es el movimiento” para estructurar luego, relaciones con la idea del idioma, los lenguajes de danza, la diáspora, y el racismo. El vínculo danza y palabra cierra de modo circular la narrativa general de la serie que inicia con una pieza que de algún modo representa o baila las palabras (capítulo 1) y finaliza del mismo modo.</w:t>
      </w:r>
    </w:p>
    <w:p w14:paraId="0000003F"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obstante, este capítulo tiene varias diferencias con los demás. Lo que hace sospechar sobre una posible participación y control sobre su imagen, más fuerte que en los anteriores casos. Khan mismo se dice un perfeccionista, y sabemos que su productor, </w:t>
      </w:r>
      <w:proofErr w:type="spellStart"/>
      <w:r>
        <w:rPr>
          <w:rFonts w:ascii="Times New Roman" w:eastAsia="Times New Roman" w:hAnsi="Times New Roman" w:cs="Times New Roman"/>
          <w:sz w:val="22"/>
          <w:szCs w:val="22"/>
        </w:rPr>
        <w:t>Farooq</w:t>
      </w:r>
      <w:proofErr w:type="spellEnd"/>
      <w:r>
        <w:rPr>
          <w:rFonts w:ascii="Times New Roman" w:eastAsia="Times New Roman" w:hAnsi="Times New Roman" w:cs="Times New Roman"/>
          <w:sz w:val="22"/>
          <w:szCs w:val="22"/>
        </w:rPr>
        <w:t xml:space="preserve"> Chaudhry, tiene una fuerte impronta y perspectiva sobre su idea de crear una “marca” para su compañía (Mitra, 2015).</w:t>
      </w:r>
    </w:p>
    <w:p w14:paraId="00000040"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Una diferencia central son los primeros planos. En este episodio se van a evitar y vamos a ver planos generales, enteros y medios, en las entrevistas realizadas tanto a Khan como a su familia y colaboradores. Aunque cabe aclarar que el montaje sortea la falta de primeros y primerísimos planos en las escenas de alto contenido emocional, dejando la voz en </w:t>
      </w:r>
      <w:r>
        <w:rPr>
          <w:rFonts w:ascii="Times New Roman" w:eastAsia="Times New Roman" w:hAnsi="Times New Roman" w:cs="Times New Roman"/>
          <w:i/>
          <w:sz w:val="22"/>
          <w:szCs w:val="22"/>
        </w:rPr>
        <w:t xml:space="preserve">off </w:t>
      </w:r>
      <w:r>
        <w:rPr>
          <w:rFonts w:ascii="Times New Roman" w:eastAsia="Times New Roman" w:hAnsi="Times New Roman" w:cs="Times New Roman"/>
          <w:sz w:val="22"/>
          <w:szCs w:val="22"/>
        </w:rPr>
        <w:t xml:space="preserve">y mostrando sus ya característicos recortes </w:t>
      </w:r>
      <w:proofErr w:type="spellStart"/>
      <w:r>
        <w:rPr>
          <w:rFonts w:ascii="Times New Roman" w:eastAsia="Times New Roman" w:hAnsi="Times New Roman" w:cs="Times New Roman"/>
          <w:sz w:val="22"/>
          <w:szCs w:val="22"/>
        </w:rPr>
        <w:t>cosificantes</w:t>
      </w:r>
      <w:proofErr w:type="spellEnd"/>
      <w:r>
        <w:rPr>
          <w:rFonts w:ascii="Times New Roman" w:eastAsia="Times New Roman" w:hAnsi="Times New Roman" w:cs="Times New Roman"/>
          <w:sz w:val="22"/>
          <w:szCs w:val="22"/>
        </w:rPr>
        <w:t xml:space="preserve"> de los cuerpos danzando. </w:t>
      </w:r>
    </w:p>
    <w:p w14:paraId="00000041" w14:textId="77777777" w:rsidR="00B65A7B" w:rsidRDefault="00000000">
      <w:pPr>
        <w:spacing w:line="360" w:lineRule="auto"/>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También notamos la impronta de Khan en la narración. El coreógrafo cuenta el relato de su vida que ya conocemos, en el orden que ya conocemos. Cabe señalar que el cómo se cuenta una historia es central para </w:t>
      </w:r>
      <w:r>
        <w:rPr>
          <w:rFonts w:ascii="Times New Roman" w:eastAsia="Times New Roman" w:hAnsi="Times New Roman" w:cs="Times New Roman"/>
          <w:sz w:val="22"/>
          <w:szCs w:val="22"/>
        </w:rPr>
        <w:lastRenderedPageBreak/>
        <w:t xml:space="preserve">este artista que proviene del </w:t>
      </w:r>
      <w:proofErr w:type="spellStart"/>
      <w:r>
        <w:rPr>
          <w:rFonts w:ascii="Times New Roman" w:eastAsia="Times New Roman" w:hAnsi="Times New Roman" w:cs="Times New Roman"/>
          <w:i/>
          <w:sz w:val="22"/>
          <w:szCs w:val="22"/>
        </w:rPr>
        <w:t>Kathak</w:t>
      </w:r>
      <w:proofErr w:type="spellEnd"/>
      <w:r>
        <w:rPr>
          <w:rFonts w:ascii="Times New Roman" w:eastAsia="Times New Roman" w:hAnsi="Times New Roman" w:cs="Times New Roman"/>
          <w:sz w:val="22"/>
          <w:szCs w:val="22"/>
        </w:rPr>
        <w:t xml:space="preserve">. Tal como explica </w:t>
      </w:r>
      <w:proofErr w:type="spellStart"/>
      <w:r>
        <w:rPr>
          <w:rFonts w:ascii="Times New Roman" w:eastAsia="Times New Roman" w:hAnsi="Times New Roman" w:cs="Times New Roman"/>
          <w:sz w:val="22"/>
          <w:szCs w:val="22"/>
        </w:rPr>
        <w:t>Royona</w:t>
      </w:r>
      <w:proofErr w:type="spellEnd"/>
      <w:r>
        <w:rPr>
          <w:rFonts w:ascii="Times New Roman" w:eastAsia="Times New Roman" w:hAnsi="Times New Roman" w:cs="Times New Roman"/>
          <w:sz w:val="22"/>
          <w:szCs w:val="22"/>
        </w:rPr>
        <w:t xml:space="preserve"> Mitra (2015), Khan trabaja bajo los mismos principios del </w:t>
      </w:r>
      <w:proofErr w:type="spellStart"/>
      <w:r>
        <w:rPr>
          <w:rFonts w:ascii="Times New Roman" w:eastAsia="Times New Roman" w:hAnsi="Times New Roman" w:cs="Times New Roman"/>
          <w:i/>
          <w:sz w:val="22"/>
          <w:szCs w:val="22"/>
        </w:rPr>
        <w:t>Kathak</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i/>
          <w:sz w:val="22"/>
          <w:szCs w:val="22"/>
        </w:rPr>
        <w:t>Abhinaya</w:t>
      </w:r>
      <w:proofErr w:type="spellEnd"/>
      <w:r>
        <w:rPr>
          <w:rFonts w:ascii="Times New Roman" w:eastAsia="Times New Roman" w:hAnsi="Times New Roman" w:cs="Times New Roman"/>
          <w:sz w:val="22"/>
          <w:szCs w:val="22"/>
        </w:rPr>
        <w:t xml:space="preserve"> y </w:t>
      </w:r>
      <w:r>
        <w:rPr>
          <w:rFonts w:ascii="Times New Roman" w:eastAsia="Times New Roman" w:hAnsi="Times New Roman" w:cs="Times New Roman"/>
          <w:i/>
          <w:sz w:val="22"/>
          <w:szCs w:val="22"/>
        </w:rPr>
        <w:t>Rasa</w:t>
      </w:r>
      <w:r>
        <w:rPr>
          <w:rFonts w:ascii="Times New Roman" w:eastAsia="Times New Roman" w:hAnsi="Times New Roman" w:cs="Times New Roman"/>
          <w:sz w:val="22"/>
          <w:szCs w:val="22"/>
        </w:rPr>
        <w:t xml:space="preserve">. Por medio del primero, que consiste en un lenguaje codificado de rostro y </w:t>
      </w:r>
      <w:r>
        <w:rPr>
          <w:rFonts w:ascii="Times New Roman" w:eastAsia="Times New Roman" w:hAnsi="Times New Roman" w:cs="Times New Roman"/>
          <w:i/>
          <w:sz w:val="22"/>
          <w:szCs w:val="22"/>
        </w:rPr>
        <w:t xml:space="preserve">mudras </w:t>
      </w:r>
      <w:r>
        <w:rPr>
          <w:rFonts w:ascii="Times New Roman" w:eastAsia="Times New Roman" w:hAnsi="Times New Roman" w:cs="Times New Roman"/>
          <w:sz w:val="22"/>
          <w:szCs w:val="22"/>
        </w:rPr>
        <w:t xml:space="preserve">(gestos de manos), se evocan emociones humanas. Por su parte, el segundo, </w:t>
      </w:r>
      <w:r>
        <w:rPr>
          <w:rFonts w:ascii="Times New Roman" w:eastAsia="Times New Roman" w:hAnsi="Times New Roman" w:cs="Times New Roman"/>
          <w:i/>
          <w:sz w:val="22"/>
          <w:szCs w:val="22"/>
        </w:rPr>
        <w:t>rasa</w:t>
      </w:r>
      <w:r>
        <w:rPr>
          <w:rFonts w:ascii="Times New Roman" w:eastAsia="Times New Roman" w:hAnsi="Times New Roman" w:cs="Times New Roman"/>
          <w:sz w:val="22"/>
          <w:szCs w:val="22"/>
        </w:rPr>
        <w:t xml:space="preserve">, es un principio y filosofía de la antigua India que teoriza la relación entre el arte y su recepción, y podría decirse que refiere al deleite estético (Mitra, 2015). El reconocimiento de las emociones del </w:t>
      </w:r>
      <w:proofErr w:type="spellStart"/>
      <w:r>
        <w:rPr>
          <w:rFonts w:ascii="Times New Roman" w:eastAsia="Times New Roman" w:hAnsi="Times New Roman" w:cs="Times New Roman"/>
          <w:sz w:val="22"/>
          <w:szCs w:val="22"/>
        </w:rPr>
        <w:t>abhinaya</w:t>
      </w:r>
      <w:proofErr w:type="spellEnd"/>
      <w:r>
        <w:rPr>
          <w:rFonts w:ascii="Times New Roman" w:eastAsia="Times New Roman" w:hAnsi="Times New Roman" w:cs="Times New Roman"/>
          <w:sz w:val="22"/>
          <w:szCs w:val="22"/>
        </w:rPr>
        <w:t xml:space="preserve"> genera rasa en el público, y de este modo se produce el intercambio entre arte, artista y receptor. A la vez es una conciencia contemplativa, un estado impersonal, evitando total empatía, y creando </w:t>
      </w:r>
      <w:proofErr w:type="spellStart"/>
      <w:r>
        <w:rPr>
          <w:rFonts w:ascii="Times New Roman" w:eastAsia="Times New Roman" w:hAnsi="Times New Roman" w:cs="Times New Roman"/>
          <w:i/>
          <w:sz w:val="22"/>
          <w:szCs w:val="22"/>
        </w:rPr>
        <w:t>sahrdaya</w:t>
      </w:r>
      <w:proofErr w:type="spellEnd"/>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(espectador simpático) que mantiene distancia estética (Mitra, 2015) con la danza. De acuerdo con Mitra, Khan utiliza estos principios en sus obras, en un diálogo intercultural. En nuestra opinión, las diferencias de filmación y edición de este capítulo también generan mayor distanciamiento, por lo que reconocemos cierto paralelismo.</w:t>
      </w:r>
    </w:p>
    <w:p w14:paraId="00000042" w14:textId="77777777" w:rsidR="00B65A7B" w:rsidRDefault="00000000">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 interesante mencionar también que en este capítulo se nombra explícitamente a la danza contemporánea. Khan habla de que la misma, fue su “oportunidad de escapar”. No obstante, si consideramos la idea de interculturalidad que propone Mitra, se supera una visión dicotómica entre “tradición” y “contemporáneo”, ya que no habría una danza o técnica o modo de representación por sobre otro. De este modo, la práctica de Khan se tensiona con el relato que propone </w:t>
      </w:r>
      <w:proofErr w:type="spellStart"/>
      <w:r>
        <w:rPr>
          <w:rFonts w:ascii="Times New Roman" w:eastAsia="Times New Roman" w:hAnsi="Times New Roman" w:cs="Times New Roman"/>
          <w:i/>
          <w:sz w:val="22"/>
          <w:szCs w:val="22"/>
        </w:rPr>
        <w:t>Move</w:t>
      </w:r>
      <w:proofErr w:type="spellEnd"/>
      <w:r>
        <w:rPr>
          <w:rFonts w:ascii="Times New Roman" w:eastAsia="Times New Roman" w:hAnsi="Times New Roman" w:cs="Times New Roman"/>
          <w:sz w:val="22"/>
          <w:szCs w:val="22"/>
        </w:rPr>
        <w:t>.</w:t>
      </w:r>
    </w:p>
    <w:p w14:paraId="00000043" w14:textId="77777777" w:rsidR="00B65A7B" w:rsidRDefault="00000000">
      <w:pPr>
        <w:spacing w:line="36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Por último, cabe aclarar que es en este capítulo donde aparece la pandemia del COVID 19. Y es esto lo que va a generar la emocionalidad, que contrasta con el objetivo de Khan mismo. Incluso en este momento, se muestra a su madre diciendo que el trabajo de </w:t>
      </w:r>
      <w:proofErr w:type="spellStart"/>
      <w:r>
        <w:rPr>
          <w:rFonts w:ascii="Times New Roman" w:eastAsia="Times New Roman" w:hAnsi="Times New Roman" w:cs="Times New Roman"/>
          <w:sz w:val="22"/>
          <w:szCs w:val="22"/>
        </w:rPr>
        <w:t>Akram</w:t>
      </w:r>
      <w:proofErr w:type="spellEnd"/>
      <w:r>
        <w:rPr>
          <w:rFonts w:ascii="Times New Roman" w:eastAsia="Times New Roman" w:hAnsi="Times New Roman" w:cs="Times New Roman"/>
          <w:sz w:val="22"/>
          <w:szCs w:val="22"/>
        </w:rPr>
        <w:t xml:space="preserve"> “expresa el dolor de toda la humanidad”, retomando de este modo, la narrativa sentimental propuesta al inicio de la serie, a pesar de la resistencia de este último capítulo.</w:t>
      </w:r>
    </w:p>
    <w:p w14:paraId="00000044" w14:textId="77777777" w:rsidR="00B65A7B" w:rsidRDefault="00B65A7B">
      <w:pPr>
        <w:pBdr>
          <w:top w:val="nil"/>
          <w:left w:val="nil"/>
          <w:bottom w:val="nil"/>
          <w:right w:val="nil"/>
          <w:between w:val="nil"/>
        </w:pBdr>
        <w:spacing w:before="480" w:after="240" w:line="276" w:lineRule="auto"/>
        <w:rPr>
          <w:rFonts w:ascii="Arial" w:eastAsia="Arial" w:hAnsi="Arial" w:cs="Arial"/>
          <w:b/>
          <w:i/>
          <w:sz w:val="28"/>
          <w:szCs w:val="28"/>
        </w:rPr>
      </w:pPr>
    </w:p>
    <w:p w14:paraId="00000045" w14:textId="77777777" w:rsidR="00B65A7B" w:rsidRDefault="00000000">
      <w:pPr>
        <w:pBdr>
          <w:top w:val="nil"/>
          <w:left w:val="nil"/>
          <w:bottom w:val="nil"/>
          <w:right w:val="nil"/>
          <w:between w:val="nil"/>
        </w:pBdr>
        <w:ind w:left="567" w:hanging="567"/>
        <w:rPr>
          <w:rFonts w:ascii="Arial" w:eastAsia="Arial" w:hAnsi="Arial" w:cs="Arial"/>
          <w:b/>
          <w:i/>
          <w:color w:val="000000"/>
          <w:sz w:val="28"/>
          <w:szCs w:val="28"/>
        </w:rPr>
      </w:pPr>
      <w:r>
        <w:br w:type="page"/>
      </w:r>
    </w:p>
    <w:p w14:paraId="00000046" w14:textId="77777777" w:rsidR="00B65A7B" w:rsidRDefault="00000000">
      <w:pPr>
        <w:pBdr>
          <w:top w:val="nil"/>
          <w:left w:val="nil"/>
          <w:bottom w:val="nil"/>
          <w:right w:val="nil"/>
          <w:between w:val="nil"/>
        </w:pBdr>
        <w:ind w:left="567" w:hanging="567"/>
        <w:rPr>
          <w:rFonts w:ascii="Times New Roman" w:eastAsia="Times New Roman" w:hAnsi="Times New Roman" w:cs="Times New Roman"/>
          <w:b/>
          <w:color w:val="000000"/>
          <w:sz w:val="28"/>
          <w:szCs w:val="28"/>
        </w:rPr>
      </w:pPr>
      <w:r>
        <w:lastRenderedPageBreak/>
        <w:br w:type="page"/>
      </w:r>
      <w:r>
        <w:rPr>
          <w:rFonts w:ascii="Times New Roman" w:eastAsia="Times New Roman" w:hAnsi="Times New Roman" w:cs="Times New Roman"/>
          <w:b/>
          <w:color w:val="000000"/>
          <w:sz w:val="28"/>
          <w:szCs w:val="28"/>
        </w:rPr>
        <w:lastRenderedPageBreak/>
        <w:t>Bibliografía</w:t>
      </w:r>
    </w:p>
    <w:p w14:paraId="00000047"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rPr>
      </w:pPr>
      <w:proofErr w:type="spellStart"/>
      <w:r>
        <w:rPr>
          <w:rFonts w:ascii="Arial" w:eastAsia="Arial" w:hAnsi="Arial" w:cs="Arial"/>
          <w:sz w:val="18"/>
          <w:szCs w:val="18"/>
        </w:rPr>
        <w:t>Baczko</w:t>
      </w:r>
      <w:proofErr w:type="spellEnd"/>
      <w:r>
        <w:rPr>
          <w:rFonts w:ascii="Arial" w:eastAsia="Arial" w:hAnsi="Arial" w:cs="Arial"/>
          <w:sz w:val="18"/>
          <w:szCs w:val="18"/>
        </w:rPr>
        <w:t xml:space="preserve">, </w:t>
      </w:r>
      <w:proofErr w:type="spellStart"/>
      <w:r>
        <w:rPr>
          <w:rFonts w:ascii="Arial" w:eastAsia="Arial" w:hAnsi="Arial" w:cs="Arial"/>
          <w:sz w:val="18"/>
          <w:szCs w:val="18"/>
        </w:rPr>
        <w:t>Bronislaw</w:t>
      </w:r>
      <w:proofErr w:type="spellEnd"/>
      <w:r>
        <w:rPr>
          <w:rFonts w:ascii="Arial" w:eastAsia="Arial" w:hAnsi="Arial" w:cs="Arial"/>
          <w:sz w:val="18"/>
          <w:szCs w:val="18"/>
        </w:rPr>
        <w:t>. 1991. Los imaginarios sociales. Memorias y esperanzas colectivas. Buenos Aires: Nueva Visión.</w:t>
      </w:r>
    </w:p>
    <w:p w14:paraId="00000048"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rPr>
      </w:pPr>
      <w:proofErr w:type="spellStart"/>
      <w:r w:rsidRPr="00894B63">
        <w:rPr>
          <w:rFonts w:ascii="Arial" w:eastAsia="Arial" w:hAnsi="Arial" w:cs="Arial"/>
          <w:sz w:val="18"/>
          <w:szCs w:val="18"/>
          <w:lang w:val="en-US"/>
        </w:rPr>
        <w:t>Chatterjea</w:t>
      </w:r>
      <w:proofErr w:type="spellEnd"/>
      <w:r w:rsidRPr="00894B63">
        <w:rPr>
          <w:rFonts w:ascii="Arial" w:eastAsia="Arial" w:hAnsi="Arial" w:cs="Arial"/>
          <w:sz w:val="18"/>
          <w:szCs w:val="18"/>
          <w:lang w:val="en-US"/>
        </w:rPr>
        <w:t xml:space="preserve">, A. (2020). Heat and Alterity in Contemporary Dance: South-South Choreographies. </w:t>
      </w:r>
      <w:proofErr w:type="spellStart"/>
      <w:r>
        <w:rPr>
          <w:rFonts w:ascii="Arial" w:eastAsia="Arial" w:hAnsi="Arial" w:cs="Arial"/>
          <w:sz w:val="18"/>
          <w:szCs w:val="18"/>
        </w:rPr>
        <w:t>Basingstoke</w:t>
      </w:r>
      <w:proofErr w:type="spellEnd"/>
      <w:r>
        <w:rPr>
          <w:rFonts w:ascii="Arial" w:eastAsia="Arial" w:hAnsi="Arial" w:cs="Arial"/>
          <w:sz w:val="18"/>
          <w:szCs w:val="18"/>
        </w:rPr>
        <w:t xml:space="preserve">, </w:t>
      </w:r>
      <w:proofErr w:type="spellStart"/>
      <w:r>
        <w:rPr>
          <w:rFonts w:ascii="Arial" w:eastAsia="Arial" w:hAnsi="Arial" w:cs="Arial"/>
          <w:sz w:val="18"/>
          <w:szCs w:val="18"/>
        </w:rPr>
        <w:t>Palgrave</w:t>
      </w:r>
      <w:proofErr w:type="spellEnd"/>
      <w:r>
        <w:rPr>
          <w:rFonts w:ascii="Arial" w:eastAsia="Arial" w:hAnsi="Arial" w:cs="Arial"/>
          <w:sz w:val="18"/>
          <w:szCs w:val="18"/>
        </w:rPr>
        <w:t xml:space="preserve"> Macmillan.</w:t>
      </w:r>
    </w:p>
    <w:p w14:paraId="00000049"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highlight w:val="yellow"/>
        </w:rPr>
      </w:pPr>
      <w:r>
        <w:rPr>
          <w:rFonts w:ascii="Arial" w:eastAsia="Arial" w:hAnsi="Arial" w:cs="Arial"/>
          <w:sz w:val="18"/>
          <w:szCs w:val="18"/>
        </w:rPr>
        <w:t>Didi-</w:t>
      </w:r>
      <w:proofErr w:type="spellStart"/>
      <w:r>
        <w:rPr>
          <w:rFonts w:ascii="Arial" w:eastAsia="Arial" w:hAnsi="Arial" w:cs="Arial"/>
          <w:sz w:val="18"/>
          <w:szCs w:val="18"/>
        </w:rPr>
        <w:t>Huberman</w:t>
      </w:r>
      <w:proofErr w:type="spellEnd"/>
      <w:r>
        <w:rPr>
          <w:rFonts w:ascii="Arial" w:eastAsia="Arial" w:hAnsi="Arial" w:cs="Arial"/>
          <w:sz w:val="18"/>
          <w:szCs w:val="18"/>
        </w:rPr>
        <w:t xml:space="preserve">, G. (2008). </w:t>
      </w:r>
      <w:r>
        <w:rPr>
          <w:rFonts w:ascii="Arial" w:eastAsia="Arial" w:hAnsi="Arial" w:cs="Arial"/>
          <w:i/>
          <w:sz w:val="18"/>
          <w:szCs w:val="18"/>
        </w:rPr>
        <w:t>El bailaor de soledades</w:t>
      </w:r>
      <w:r>
        <w:rPr>
          <w:rFonts w:ascii="Arial" w:eastAsia="Arial" w:hAnsi="Arial" w:cs="Arial"/>
          <w:sz w:val="18"/>
          <w:szCs w:val="18"/>
        </w:rPr>
        <w:t>. Valencia. Pre-textos.</w:t>
      </w:r>
    </w:p>
    <w:p w14:paraId="0000004A" w14:textId="77777777" w:rsidR="00B65A7B" w:rsidRPr="00894B63"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lang w:val="en-US"/>
        </w:rPr>
      </w:pPr>
      <w:proofErr w:type="spellStart"/>
      <w:r>
        <w:rPr>
          <w:rFonts w:ascii="Arial" w:eastAsia="Arial" w:hAnsi="Arial" w:cs="Arial"/>
          <w:sz w:val="18"/>
          <w:szCs w:val="18"/>
        </w:rPr>
        <w:t>Heymann</w:t>
      </w:r>
      <w:proofErr w:type="spellEnd"/>
      <w:r>
        <w:rPr>
          <w:rFonts w:ascii="Arial" w:eastAsia="Arial" w:hAnsi="Arial" w:cs="Arial"/>
          <w:sz w:val="18"/>
          <w:szCs w:val="18"/>
        </w:rPr>
        <w:t xml:space="preserve">, </w:t>
      </w:r>
      <w:proofErr w:type="spellStart"/>
      <w:r>
        <w:rPr>
          <w:rFonts w:ascii="Arial" w:eastAsia="Arial" w:hAnsi="Arial" w:cs="Arial"/>
          <w:sz w:val="18"/>
          <w:szCs w:val="18"/>
        </w:rPr>
        <w:t>Tomer</w:t>
      </w:r>
      <w:proofErr w:type="spellEnd"/>
      <w:r>
        <w:rPr>
          <w:rFonts w:ascii="Arial" w:eastAsia="Arial" w:hAnsi="Arial" w:cs="Arial"/>
          <w:sz w:val="18"/>
          <w:szCs w:val="18"/>
        </w:rPr>
        <w:t xml:space="preserve"> (director). </w:t>
      </w:r>
      <w:r w:rsidRPr="00894B63">
        <w:rPr>
          <w:rFonts w:ascii="Arial" w:eastAsia="Arial" w:hAnsi="Arial" w:cs="Arial"/>
          <w:sz w:val="18"/>
          <w:szCs w:val="18"/>
          <w:lang w:val="en-US"/>
        </w:rPr>
        <w:t xml:space="preserve">2015. </w:t>
      </w:r>
      <w:proofErr w:type="spellStart"/>
      <w:r w:rsidRPr="00894B63">
        <w:rPr>
          <w:rFonts w:ascii="Arial" w:eastAsia="Arial" w:hAnsi="Arial" w:cs="Arial"/>
          <w:sz w:val="18"/>
          <w:szCs w:val="18"/>
          <w:lang w:val="en-US"/>
        </w:rPr>
        <w:t>Mr</w:t>
      </w:r>
      <w:proofErr w:type="spellEnd"/>
      <w:r w:rsidRPr="00894B63">
        <w:rPr>
          <w:rFonts w:ascii="Arial" w:eastAsia="Arial" w:hAnsi="Arial" w:cs="Arial"/>
          <w:sz w:val="18"/>
          <w:szCs w:val="18"/>
          <w:lang w:val="en-US"/>
        </w:rPr>
        <w:t xml:space="preserve"> Gaga. </w:t>
      </w:r>
      <w:proofErr w:type="spellStart"/>
      <w:r w:rsidRPr="00894B63">
        <w:rPr>
          <w:rFonts w:ascii="Arial" w:eastAsia="Arial" w:hAnsi="Arial" w:cs="Arial"/>
          <w:sz w:val="18"/>
          <w:szCs w:val="18"/>
          <w:lang w:val="en-US"/>
        </w:rPr>
        <w:t>Heymann</w:t>
      </w:r>
      <w:proofErr w:type="spellEnd"/>
      <w:r w:rsidRPr="00894B63">
        <w:rPr>
          <w:rFonts w:ascii="Arial" w:eastAsia="Arial" w:hAnsi="Arial" w:cs="Arial"/>
          <w:sz w:val="18"/>
          <w:szCs w:val="18"/>
          <w:lang w:val="en-US"/>
        </w:rPr>
        <w:t>, Barak (productor).</w:t>
      </w:r>
    </w:p>
    <w:p w14:paraId="0000004B"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rPr>
      </w:pPr>
      <w:r>
        <w:rPr>
          <w:rFonts w:ascii="Arial" w:eastAsia="Arial" w:hAnsi="Arial" w:cs="Arial"/>
          <w:sz w:val="18"/>
          <w:szCs w:val="18"/>
        </w:rPr>
        <w:t>Martín-Barbero, Jesús. 1987. De los medios a las mediaciones. Comunicación, cultura y hegemonía. Barcelona: Editorial Gustavo Gili.</w:t>
      </w:r>
    </w:p>
    <w:p w14:paraId="0000004C" w14:textId="77777777" w:rsidR="00B65A7B" w:rsidRPr="00894B63"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lang w:val="en-US"/>
        </w:rPr>
      </w:pPr>
      <w:r w:rsidRPr="00894B63">
        <w:rPr>
          <w:rFonts w:ascii="Arial" w:eastAsia="Arial" w:hAnsi="Arial" w:cs="Arial"/>
          <w:sz w:val="18"/>
          <w:szCs w:val="18"/>
          <w:lang w:val="en-US"/>
        </w:rPr>
        <w:t xml:space="preserve">Mitra, </w:t>
      </w:r>
      <w:proofErr w:type="spellStart"/>
      <w:r w:rsidRPr="00894B63">
        <w:rPr>
          <w:rFonts w:ascii="Arial" w:eastAsia="Arial" w:hAnsi="Arial" w:cs="Arial"/>
          <w:sz w:val="18"/>
          <w:szCs w:val="18"/>
          <w:lang w:val="en-US"/>
        </w:rPr>
        <w:t>Royona</w:t>
      </w:r>
      <w:proofErr w:type="spellEnd"/>
      <w:r w:rsidRPr="00894B63">
        <w:rPr>
          <w:rFonts w:ascii="Arial" w:eastAsia="Arial" w:hAnsi="Arial" w:cs="Arial"/>
          <w:sz w:val="18"/>
          <w:szCs w:val="18"/>
          <w:lang w:val="en-US"/>
        </w:rPr>
        <w:t xml:space="preserve">. 2015. </w:t>
      </w:r>
      <w:proofErr w:type="spellStart"/>
      <w:r w:rsidRPr="00894B63">
        <w:rPr>
          <w:rFonts w:ascii="Arial" w:eastAsia="Arial" w:hAnsi="Arial" w:cs="Arial"/>
          <w:sz w:val="18"/>
          <w:szCs w:val="18"/>
          <w:lang w:val="en-US"/>
        </w:rPr>
        <w:t>Akram</w:t>
      </w:r>
      <w:proofErr w:type="spellEnd"/>
      <w:r w:rsidRPr="00894B63">
        <w:rPr>
          <w:rFonts w:ascii="Arial" w:eastAsia="Arial" w:hAnsi="Arial" w:cs="Arial"/>
          <w:sz w:val="18"/>
          <w:szCs w:val="18"/>
          <w:lang w:val="en-US"/>
        </w:rPr>
        <w:t xml:space="preserve"> Khan. Dancing New Interculturalism. Basingstoke: Palgrave Macmillan</w:t>
      </w:r>
    </w:p>
    <w:p w14:paraId="0000004D"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rPr>
      </w:pPr>
      <w:proofErr w:type="spellStart"/>
      <w:r w:rsidRPr="00894B63">
        <w:rPr>
          <w:rFonts w:ascii="Arial" w:eastAsia="Arial" w:hAnsi="Arial" w:cs="Arial"/>
          <w:sz w:val="18"/>
          <w:szCs w:val="18"/>
          <w:lang w:val="en-US"/>
        </w:rPr>
        <w:t>Mukarovský</w:t>
      </w:r>
      <w:proofErr w:type="spellEnd"/>
      <w:r w:rsidRPr="00894B63">
        <w:rPr>
          <w:rFonts w:ascii="Arial" w:eastAsia="Arial" w:hAnsi="Arial" w:cs="Arial"/>
          <w:sz w:val="18"/>
          <w:szCs w:val="18"/>
          <w:lang w:val="en-US"/>
        </w:rPr>
        <w:t xml:space="preserve">, J. (1977 (1975)). </w:t>
      </w:r>
      <w:r>
        <w:rPr>
          <w:rFonts w:ascii="Arial" w:eastAsia="Arial" w:hAnsi="Arial" w:cs="Arial"/>
          <w:sz w:val="18"/>
          <w:szCs w:val="18"/>
        </w:rPr>
        <w:t>Escritos de Estética y Semiótica del Arte. Barcelona: Jordi Llovet.</w:t>
      </w:r>
    </w:p>
    <w:p w14:paraId="0000004E"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rPr>
      </w:pPr>
      <w:r>
        <w:rPr>
          <w:rFonts w:ascii="Arial" w:eastAsia="Arial" w:hAnsi="Arial" w:cs="Arial"/>
          <w:sz w:val="18"/>
          <w:szCs w:val="18"/>
        </w:rPr>
        <w:t xml:space="preserve">Rosano, Susana. 2006. Rostros y máscaras de Eva Perón: imaginario populista y representación. Rosario: Beatriz </w:t>
      </w:r>
      <w:proofErr w:type="spellStart"/>
      <w:r>
        <w:rPr>
          <w:rFonts w:ascii="Arial" w:eastAsia="Arial" w:hAnsi="Arial" w:cs="Arial"/>
          <w:sz w:val="18"/>
          <w:szCs w:val="18"/>
        </w:rPr>
        <w:t>Vitrebo</w:t>
      </w:r>
      <w:proofErr w:type="spellEnd"/>
      <w:r>
        <w:rPr>
          <w:rFonts w:ascii="Arial" w:eastAsia="Arial" w:hAnsi="Arial" w:cs="Arial"/>
          <w:sz w:val="18"/>
          <w:szCs w:val="18"/>
        </w:rPr>
        <w:t xml:space="preserve"> Editora.</w:t>
      </w:r>
    </w:p>
    <w:p w14:paraId="0000004F"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rPr>
      </w:pPr>
      <w:r>
        <w:rPr>
          <w:rFonts w:ascii="Arial" w:eastAsia="Arial" w:hAnsi="Arial" w:cs="Arial"/>
          <w:sz w:val="18"/>
          <w:szCs w:val="18"/>
        </w:rPr>
        <w:t>Williams, Raymond. 2012. Cultura y materialismo. Buenos Aires: La marca editora.</w:t>
      </w:r>
    </w:p>
    <w:p w14:paraId="00000050" w14:textId="77777777" w:rsidR="00B65A7B" w:rsidRDefault="00000000">
      <w:pPr>
        <w:widowControl w:val="0"/>
        <w:pBdr>
          <w:top w:val="nil"/>
          <w:left w:val="nil"/>
          <w:bottom w:val="nil"/>
          <w:right w:val="nil"/>
          <w:between w:val="nil"/>
        </w:pBdr>
        <w:spacing w:before="240" w:after="240"/>
        <w:ind w:left="561" w:hanging="561"/>
        <w:jc w:val="both"/>
        <w:rPr>
          <w:rFonts w:ascii="Arial" w:eastAsia="Arial" w:hAnsi="Arial" w:cs="Arial"/>
          <w:sz w:val="18"/>
          <w:szCs w:val="18"/>
        </w:rPr>
      </w:pPr>
      <w:r>
        <w:rPr>
          <w:rFonts w:ascii="Arial" w:eastAsia="Arial" w:hAnsi="Arial" w:cs="Arial"/>
          <w:sz w:val="18"/>
          <w:szCs w:val="18"/>
        </w:rPr>
        <w:t>Zubieta, Ana María (Dir.). 2004. Cultura popular y cultura de masas. Conceptos, recorridos y polémicas. Buenos Aires: Paidós.</w:t>
      </w:r>
    </w:p>
    <w:p w14:paraId="00000051" w14:textId="77777777" w:rsidR="00B65A7B" w:rsidRDefault="00B65A7B">
      <w:pPr>
        <w:widowControl w:val="0"/>
        <w:pBdr>
          <w:top w:val="nil"/>
          <w:left w:val="nil"/>
          <w:bottom w:val="nil"/>
          <w:right w:val="nil"/>
          <w:between w:val="nil"/>
        </w:pBdr>
        <w:spacing w:before="240" w:after="240"/>
        <w:ind w:left="561" w:hanging="561"/>
        <w:jc w:val="both"/>
        <w:rPr>
          <w:rFonts w:ascii="Arial" w:eastAsia="Arial" w:hAnsi="Arial" w:cs="Arial"/>
          <w:color w:val="FF0000"/>
          <w:sz w:val="18"/>
          <w:szCs w:val="18"/>
        </w:rPr>
      </w:pPr>
    </w:p>
    <w:p w14:paraId="00000052" w14:textId="77777777" w:rsidR="00B65A7B" w:rsidRDefault="00B65A7B">
      <w:pPr>
        <w:widowControl w:val="0"/>
        <w:pBdr>
          <w:top w:val="nil"/>
          <w:left w:val="nil"/>
          <w:bottom w:val="nil"/>
          <w:right w:val="nil"/>
          <w:between w:val="nil"/>
        </w:pBdr>
        <w:spacing w:before="240" w:after="240"/>
        <w:ind w:left="561" w:hanging="561"/>
        <w:jc w:val="both"/>
        <w:rPr>
          <w:rFonts w:ascii="Arial" w:eastAsia="Arial" w:hAnsi="Arial" w:cs="Arial"/>
          <w:color w:val="FF0000"/>
          <w:sz w:val="18"/>
          <w:szCs w:val="18"/>
        </w:rPr>
      </w:pPr>
    </w:p>
    <w:p w14:paraId="00000053" w14:textId="77777777" w:rsidR="00B65A7B"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sectPr w:rsidR="00B65A7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FDFD" w14:textId="77777777" w:rsidR="00F453C0" w:rsidRDefault="00F453C0">
      <w:r>
        <w:separator/>
      </w:r>
    </w:p>
  </w:endnote>
  <w:endnote w:type="continuationSeparator" w:id="0">
    <w:p w14:paraId="7ECEC5B6" w14:textId="77777777" w:rsidR="00F453C0" w:rsidRDefault="00F4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59CF" w14:textId="77777777" w:rsidR="00F453C0" w:rsidRDefault="00F453C0">
      <w:r>
        <w:separator/>
      </w:r>
    </w:p>
  </w:footnote>
  <w:footnote w:type="continuationSeparator" w:id="0">
    <w:p w14:paraId="309B6C41" w14:textId="77777777" w:rsidR="00F453C0" w:rsidRDefault="00F453C0">
      <w:r>
        <w:continuationSeparator/>
      </w:r>
    </w:p>
  </w:footnote>
  <w:footnote w:id="1">
    <w:p w14:paraId="00000054" w14:textId="77777777" w:rsidR="00B65A7B" w:rsidRDefault="00000000">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Grupo de Estudios de Danzas Argentinas y Latinoamericanas -GEDAL- está radicado en el Instituto de Historia del Arte Argentino y Latinoamericano “Luis Ordaz” (Facultad de Filosofía y Letras, Universidad de Buenos Aires). Es un espacio de estudio, intercambio e investigación interdisciplinar que busca construir conocimiento sobre y desde las danzas locales y regionales en su especificidad y en diálogo hemisférico con los países hegemónicos. Desde 2018 el GEDAL ha realizado diversas actividades educativas y científicas centradas en los Estudios de Danza Argentina y Latinoamericana, en contextos académicos y artísticos y culturales.</w:t>
      </w:r>
    </w:p>
  </w:footnote>
  <w:footnote w:id="2">
    <w:p w14:paraId="00000055" w14:textId="77777777" w:rsidR="00B65A7B" w:rsidRDefault="00000000">
      <w:pPr>
        <w:jc w:val="both"/>
        <w:rPr>
          <w:rFonts w:ascii="Arial" w:eastAsia="Arial" w:hAnsi="Arial" w:cs="Arial"/>
          <w:color w:val="FF0000"/>
        </w:rPr>
      </w:pPr>
      <w:r>
        <w:rPr>
          <w:vertAlign w:val="superscript"/>
        </w:rPr>
        <w:footnoteRef/>
      </w:r>
      <w:r>
        <w:rPr>
          <w:rFonts w:ascii="Times New Roman" w:eastAsia="Times New Roman" w:hAnsi="Times New Roman" w:cs="Times New Roman"/>
          <w:sz w:val="18"/>
          <w:szCs w:val="18"/>
        </w:rPr>
        <w:t xml:space="preserve"> Tomamos esta noción de Raymond Williams (2012) y de la utilización que hace de esta, Susana Rosano. Para Williams la estructura de sentimiento “es una hipótesis cultural que permite leer estrategias simbólicas y de representación a partir de la forma en que fueron vividas, experimentadas” (Rosano, 2006: 13).</w:t>
      </w:r>
      <w:r>
        <w:rPr>
          <w:rFonts w:ascii="Times New Roman" w:eastAsia="Times New Roman" w:hAnsi="Times New Roman" w:cs="Times New Roman"/>
          <w:sz w:val="24"/>
          <w:szCs w:val="24"/>
        </w:rPr>
        <w:t xml:space="preserve"> </w:t>
      </w:r>
    </w:p>
  </w:footnote>
  <w:footnote w:id="3">
    <w:p w14:paraId="00000056" w14:textId="77777777" w:rsidR="00B65A7B" w:rsidRDefault="00000000">
      <w:pPr>
        <w:jc w:val="both"/>
        <w:rPr>
          <w:rFonts w:ascii="Arial" w:eastAsia="Arial" w:hAnsi="Arial" w:cs="Arial"/>
        </w:rPr>
      </w:pPr>
      <w:r>
        <w:rPr>
          <w:vertAlign w:val="superscript"/>
        </w:rPr>
        <w:footnoteRef/>
      </w:r>
      <w:r>
        <w:rPr>
          <w:rFonts w:ascii="Times New Roman" w:eastAsia="Times New Roman" w:hAnsi="Times New Roman" w:cs="Times New Roman"/>
          <w:sz w:val="18"/>
          <w:szCs w:val="18"/>
        </w:rPr>
        <w:t xml:space="preserve"> Según </w:t>
      </w:r>
      <w:proofErr w:type="spellStart"/>
      <w:r>
        <w:rPr>
          <w:rFonts w:ascii="Times New Roman" w:eastAsia="Times New Roman" w:hAnsi="Times New Roman" w:cs="Times New Roman"/>
          <w:sz w:val="18"/>
          <w:szCs w:val="18"/>
        </w:rPr>
        <w:t>Baczko</w:t>
      </w:r>
      <w:proofErr w:type="spellEnd"/>
      <w:r>
        <w:rPr>
          <w:rFonts w:ascii="Times New Roman" w:eastAsia="Times New Roman" w:hAnsi="Times New Roman" w:cs="Times New Roman"/>
          <w:sz w:val="18"/>
          <w:szCs w:val="18"/>
        </w:rPr>
        <w:t xml:space="preserve"> (1991), las sociedades crean constantemente representaciones de la realidad social –y no solo reflejos de esta–. Los “imaginarios sociales” constituyen estas “representaciones colectivas, ideas e imágenes de la sociedad global y de todo lo que tiene que ver con ella” (8).</w:t>
      </w:r>
    </w:p>
  </w:footnote>
  <w:footnote w:id="4">
    <w:p w14:paraId="00000057" w14:textId="77777777" w:rsidR="00B65A7B" w:rsidRDefault="00000000">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Corriente norteamericana de danza moderna asociada a </w:t>
      </w:r>
      <w:proofErr w:type="spellStart"/>
      <w:r>
        <w:rPr>
          <w:rFonts w:ascii="Times New Roman" w:eastAsia="Times New Roman" w:hAnsi="Times New Roman" w:cs="Times New Roman"/>
        </w:rPr>
        <w:t>coreógrafxs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bailarinxs</w:t>
      </w:r>
      <w:proofErr w:type="spellEnd"/>
      <w:r>
        <w:rPr>
          <w:rFonts w:ascii="Times New Roman" w:eastAsia="Times New Roman" w:hAnsi="Times New Roman" w:cs="Times New Roman"/>
        </w:rPr>
        <w:t xml:space="preserve"> como Martha </w:t>
      </w:r>
      <w:proofErr w:type="spellStart"/>
      <w:r>
        <w:rPr>
          <w:rFonts w:ascii="Times New Roman" w:eastAsia="Times New Roman" w:hAnsi="Times New Roman" w:cs="Times New Roman"/>
        </w:rPr>
        <w:t>Grahan</w:t>
      </w:r>
      <w:proofErr w:type="spellEnd"/>
      <w:r>
        <w:rPr>
          <w:rFonts w:ascii="Times New Roman" w:eastAsia="Times New Roman" w:hAnsi="Times New Roman" w:cs="Times New Roman"/>
        </w:rPr>
        <w:t xml:space="preserve">, Doris Humphrey, Charles Weidman, entre </w:t>
      </w:r>
      <w:proofErr w:type="spellStart"/>
      <w:r>
        <w:rPr>
          <w:rFonts w:ascii="Times New Roman" w:eastAsia="Times New Roman" w:hAnsi="Times New Roman" w:cs="Times New Roman"/>
        </w:rPr>
        <w:t>otrxs</w:t>
      </w:r>
      <w:proofErr w:type="spellEnd"/>
      <w:r>
        <w:rPr>
          <w:rFonts w:ascii="Times New Roman" w:eastAsia="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744B"/>
    <w:multiLevelType w:val="multilevel"/>
    <w:tmpl w:val="7C9CD8C6"/>
    <w:lvl w:ilvl="0">
      <w:start w:val="1"/>
      <w:numFmt w:val="bullet"/>
      <w:lvlText w:val="›"/>
      <w:lvlJc w:val="left"/>
      <w:pPr>
        <w:ind w:left="360" w:hanging="360"/>
      </w:pPr>
      <w:rPr>
        <w:rFonts w:ascii="Cambria" w:eastAsia="Cambria" w:hAnsi="Cambria" w:cs="Cambria"/>
        <w:b w:val="0"/>
        <w:i w:val="0"/>
        <w:smallCaps w:val="0"/>
        <w:strike w:val="0"/>
        <w:color w:val="C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52CB0939"/>
    <w:multiLevelType w:val="multilevel"/>
    <w:tmpl w:val="02606456"/>
    <w:lvl w:ilvl="0">
      <w:start w:val="1"/>
      <w:numFmt w:val="bullet"/>
      <w:lvlText w:val="ª"/>
      <w:lvlJc w:val="left"/>
      <w:pPr>
        <w:ind w:left="360" w:hanging="360"/>
      </w:pPr>
      <w:rPr>
        <w:rFonts w:ascii="Cambria" w:eastAsia="Cambria" w:hAnsi="Cambria" w:cs="Cambria"/>
        <w:b w:val="0"/>
        <w:i w:val="0"/>
        <w:smallCaps w:val="0"/>
        <w:strike w:val="0"/>
        <w:color w:val="000000"/>
        <w:sz w:val="20"/>
        <w:szCs w:val="20"/>
        <w:u w:val="none"/>
        <w:shd w:val="clear" w:color="auto" w:fill="auto"/>
        <w:vertAlign w:val="baseline"/>
      </w:rPr>
    </w:lvl>
    <w:lvl w:ilvl="1">
      <w:start w:val="1"/>
      <w:numFmt w:val="bullet"/>
      <w:lvlText w:val="○"/>
      <w:lvlJc w:val="left"/>
      <w:pPr>
        <w:ind w:left="2149" w:hanging="214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69" w:hanging="2869"/>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589" w:hanging="3589"/>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309" w:hanging="430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29" w:hanging="5029"/>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749" w:hanging="5749"/>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469" w:hanging="646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189" w:hanging="7189"/>
      </w:pPr>
      <w:rPr>
        <w:rFonts w:ascii="Arial" w:eastAsia="Arial" w:hAnsi="Arial" w:cs="Arial"/>
        <w:b w:val="0"/>
        <w:i w:val="0"/>
        <w:smallCaps w:val="0"/>
        <w:strike w:val="0"/>
        <w:color w:val="000000"/>
        <w:sz w:val="20"/>
        <w:szCs w:val="20"/>
        <w:u w:val="none"/>
        <w:shd w:val="clear" w:color="auto" w:fill="auto"/>
        <w:vertAlign w:val="baseline"/>
      </w:rPr>
    </w:lvl>
  </w:abstractNum>
  <w:num w:numId="1" w16cid:durableId="1609195977">
    <w:abstractNumId w:val="1"/>
  </w:num>
  <w:num w:numId="2" w16cid:durableId="137503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7B"/>
    <w:rsid w:val="004A4968"/>
    <w:rsid w:val="007F599D"/>
    <w:rsid w:val="00894B63"/>
    <w:rsid w:val="009D29A5"/>
    <w:rsid w:val="00B65A7B"/>
    <w:rsid w:val="00DF3C23"/>
    <w:rsid w:val="00F453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DBF7"/>
  <w15:docId w15:val="{C5609693-0A2C-0C46-8AF2-4386E5AC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AR"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African-Americ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b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Ls4d0+6Wioq2RGs/VNxF/f+Sw==">AMUW2mV+Y3pRFKA+gK7GXh2D7KqSK0O/e+x3KgfN0g7Imfhls3pBylBNUxbYtvqhR1yC2s7cUx7uOcL5N0SxSBmWBZ3G5gY1L/mZsPrjJpIExgBdYwXHMrY=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5271</Words>
  <Characters>28996</Characters>
  <Application>Microsoft Office Word</Application>
  <DocSecurity>0</DocSecurity>
  <Lines>241</Lines>
  <Paragraphs>68</Paragraphs>
  <ScaleCrop>false</ScaleCrop>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Mónica Gruber</cp:lastModifiedBy>
  <cp:revision>4</cp:revision>
  <cp:lastPrinted>2022-09-22T19:04:00Z</cp:lastPrinted>
  <dcterms:created xsi:type="dcterms:W3CDTF">2022-09-22T19:04:00Z</dcterms:created>
  <dcterms:modified xsi:type="dcterms:W3CDTF">2022-09-22T19:05:00Z</dcterms:modified>
</cp:coreProperties>
</file>