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17" w:rsidRPr="00655217" w:rsidRDefault="00655217" w:rsidP="00655217">
      <w:pPr>
        <w:jc w:val="right"/>
      </w:pPr>
      <w:r w:rsidRPr="00655217">
        <w:t>Claudia Inés Raposo</w:t>
      </w:r>
    </w:p>
    <w:p w:rsidR="00655217" w:rsidRPr="00655217" w:rsidRDefault="00655217" w:rsidP="00655217">
      <w:pPr>
        <w:jc w:val="right"/>
      </w:pPr>
      <w:r w:rsidRPr="00655217">
        <w:t>Profesora de enseñanza media y superior en Letras</w:t>
      </w:r>
    </w:p>
    <w:p w:rsidR="00655217" w:rsidRPr="00655217" w:rsidRDefault="00655217" w:rsidP="00655217">
      <w:pPr>
        <w:jc w:val="right"/>
      </w:pPr>
      <w:r w:rsidRPr="00655217">
        <w:t>Universidad de Buenos Aires – Facultad de Filosofía y Letras</w:t>
      </w:r>
    </w:p>
    <w:p w:rsidR="00655217" w:rsidRPr="00655217" w:rsidRDefault="00655217" w:rsidP="00655217">
      <w:pPr>
        <w:jc w:val="right"/>
      </w:pPr>
      <w:r w:rsidRPr="00655217">
        <w:t xml:space="preserve">Investigadora de proyecto  </w:t>
      </w:r>
      <w:proofErr w:type="spellStart"/>
      <w:r w:rsidRPr="00655217">
        <w:t>UBACyT</w:t>
      </w:r>
      <w:proofErr w:type="spellEnd"/>
    </w:p>
    <w:p w:rsidR="00655217" w:rsidRDefault="00F50E37" w:rsidP="00655217">
      <w:pPr>
        <w:jc w:val="right"/>
      </w:pPr>
      <w:hyperlink r:id="rId8" w:history="1">
        <w:r w:rsidR="00655217" w:rsidRPr="00AC1AEC">
          <w:rPr>
            <w:rStyle w:val="Hipervnculo"/>
          </w:rPr>
          <w:t>claudiaraposo61@gmail.com</w:t>
        </w:r>
      </w:hyperlink>
    </w:p>
    <w:p w:rsidR="00655217" w:rsidRDefault="00655217" w:rsidP="00D401EC"/>
    <w:p w:rsidR="00D401EC" w:rsidRPr="00264843" w:rsidRDefault="00D401EC" w:rsidP="00D401EC">
      <w:pPr>
        <w:rPr>
          <w:b/>
          <w:bCs/>
        </w:rPr>
      </w:pPr>
      <w:r w:rsidRPr="00264843">
        <w:rPr>
          <w:b/>
          <w:bCs/>
        </w:rPr>
        <w:t>Animalidad  y poder: un breve recorrido por la Edad Media</w:t>
      </w:r>
      <w:r w:rsidR="00655217" w:rsidRPr="00264843">
        <w:rPr>
          <w:b/>
          <w:bCs/>
        </w:rPr>
        <w:t>.</w:t>
      </w:r>
    </w:p>
    <w:p w:rsidR="00655217" w:rsidRPr="00264843" w:rsidRDefault="00655217" w:rsidP="00D401EC">
      <w:pPr>
        <w:rPr>
          <w:b/>
          <w:bCs/>
        </w:rPr>
      </w:pPr>
    </w:p>
    <w:p w:rsidR="0029177A" w:rsidRDefault="00D401EC" w:rsidP="00264843">
      <w:pPr>
        <w:ind w:firstLine="708"/>
      </w:pPr>
      <w:r>
        <w:t>Si queremos referir</w:t>
      </w:r>
      <w:r w:rsidR="001B492E">
        <w:t>nos al simbolismo animal en la Edad M</w:t>
      </w:r>
      <w:r>
        <w:t>edia, no podemos evitar referirnos</w:t>
      </w:r>
      <w:r w:rsidR="001B492E">
        <w:t xml:space="preserve"> al gran texto de referencia, </w:t>
      </w:r>
      <w:r w:rsidR="001B492E" w:rsidRPr="001B492E">
        <w:rPr>
          <w:i/>
        </w:rPr>
        <w:t>El</w:t>
      </w:r>
      <w:r>
        <w:t xml:space="preserve"> </w:t>
      </w:r>
      <w:r w:rsidRPr="00D401EC">
        <w:rPr>
          <w:i/>
        </w:rPr>
        <w:t>Fisiólogo</w:t>
      </w:r>
      <w:r>
        <w:t xml:space="preserve">, y sus derivaciones, los bestiarios. Brevemente, </w:t>
      </w:r>
      <w:r w:rsidRPr="007C6506">
        <w:rPr>
          <w:i/>
        </w:rPr>
        <w:t>El Fisiólogo</w:t>
      </w:r>
      <w:r w:rsidRPr="007C6506">
        <w:t xml:space="preserve"> es una colección de descripciones y  narraciones acerca de animales y algunas piedras acompañadas de un comentario doctrinario o moralizante, escrito entre los siglos II y V, de autor presumiblemente anónimo, que recurre principalmente  a fuentes paganas grecolatinas a las que reinterpreta  en clave cristiana (</w:t>
      </w:r>
      <w:proofErr w:type="spellStart"/>
      <w:r w:rsidRPr="007C6506">
        <w:t>Guglielmi</w:t>
      </w:r>
      <w:proofErr w:type="spellEnd"/>
      <w:r w:rsidRPr="007C6506">
        <w:t xml:space="preserve">, 2012). Los bestiarios, agregan a los materiales tomados de </w:t>
      </w:r>
      <w:r w:rsidRPr="007C6506">
        <w:rPr>
          <w:i/>
        </w:rPr>
        <w:t>El Fisiólogo</w:t>
      </w:r>
      <w:r w:rsidRPr="007C6506">
        <w:t xml:space="preserve"> otros provenientes de distintas fuentes, y  mantienen la exégesis religiosa, u otorgan un significado moral a las descripciones o relatos que recogen. Tuvieron una amplia difusión en toda Europa, tanto a través de los libros en sí como del uso de sus historias</w:t>
      </w:r>
      <w:r>
        <w:t xml:space="preserve">. </w:t>
      </w:r>
      <w:r w:rsidRPr="001B492E">
        <w:t>La interpretación figural,</w:t>
      </w:r>
      <w:r>
        <w:t xml:space="preserve"> sustentada en una visión neoplatónica del mundo, que otorgaba a cada elemento de la naturaleza un significado oculto que era preciso desentrañar, fue prevalente en la Edad Media </w:t>
      </w:r>
      <w:r w:rsidR="00867005">
        <w:t xml:space="preserve">hasta </w:t>
      </w:r>
      <w:r>
        <w:t xml:space="preserve">el siglo XIII, </w:t>
      </w:r>
      <w:r w:rsidR="00867005">
        <w:t xml:space="preserve">momento en el cual, </w:t>
      </w:r>
      <w:r>
        <w:t xml:space="preserve">con el auge del aristotelismo comenzó su  decadencia. Entonces, los símbolos animales, sin dejar de portar los ya otorgados por la exégesis cristiana, adoptan otros significados, según el contexto de utilización, mediante una intensificación de algunos aspectos en detrimento de otros, de acuerdo al sentido que se le </w:t>
      </w:r>
      <w:r w:rsidRPr="001B492E">
        <w:t>quisiera</w:t>
      </w:r>
      <w:r>
        <w:t xml:space="preserve"> otorgar. Para ejemplificar esto, de entre los animales ligados a representaciones del poder, recurriremos a dos animales provenientes de los bestiarios, el pelicano y el fénix. Nos ceñiremos en particular al ámbito hispánico, nuestro campo de estudio, sin desdeñar recurrir a otros ejemplos europeos. Comencemos con el pelícano. La leyenda narra que </w:t>
      </w:r>
      <w:r w:rsidRPr="00BF30BA">
        <w:rPr>
          <w:lang w:val="es-ES"/>
        </w:rPr>
        <w:t xml:space="preserve">los pelícanos son padres amantes, pero </w:t>
      </w:r>
      <w:r w:rsidRPr="00BF30BA">
        <w:t xml:space="preserve">los polluelos cuando crecen golpean el rostro de sus padres con las alas, y estos, encolerizados, los matan. A los tres días, arrepentidos, la madre, o el padre según las versiones, se hiere el pecho con su pico, y deja caer su sangre </w:t>
      </w:r>
      <w:r w:rsidRPr="00BF30BA">
        <w:lastRenderedPageBreak/>
        <w:t>sobre su</w:t>
      </w:r>
      <w:r>
        <w:t xml:space="preserve">s hijos, que así reviven. Muy probablemente, este relato esté originado en la observación de la manera en que el pelícano alimenta a sus pichones, apretando la bolsa que lo caracteriza con su pico.  </w:t>
      </w:r>
      <w:r w:rsidRPr="00F9571C">
        <w:t xml:space="preserve">La interpretación figural cristiana, que en </w:t>
      </w:r>
      <w:r w:rsidR="00373B64" w:rsidRPr="00373B64">
        <w:rPr>
          <w:i/>
        </w:rPr>
        <w:t>E</w:t>
      </w:r>
      <w:r w:rsidRPr="00373B64">
        <w:rPr>
          <w:i/>
        </w:rPr>
        <w:t>l</w:t>
      </w:r>
      <w:r w:rsidRPr="00F9571C">
        <w:t xml:space="preserve"> </w:t>
      </w:r>
      <w:proofErr w:type="spellStart"/>
      <w:r w:rsidRPr="00F9571C">
        <w:rPr>
          <w:i/>
          <w:iCs/>
        </w:rPr>
        <w:t>Fisólogo</w:t>
      </w:r>
      <w:proofErr w:type="spellEnd"/>
      <w:r w:rsidRPr="00F9571C">
        <w:t xml:space="preserve"> acompaña a la información zoológica, identifica al ave con Cristo, que en la cruz fue herido en su costado y de su herida manó sangre y agua, la sangre, que representa la de la eucaristía, y el agua, la del bautismo, para redención de los pecadores, personificados en los polluelos que se rebelan contra sus progenitores.  El  pelícano, es, de esta manera, figura de Cristo redentor,  y símbolo de la Eucaristía</w:t>
      </w:r>
      <w:r w:rsidR="00373B64">
        <w:t xml:space="preserve"> (</w:t>
      </w:r>
      <w:proofErr w:type="spellStart"/>
      <w:r w:rsidR="00453DC6">
        <w:t>Guglielmi</w:t>
      </w:r>
      <w:proofErr w:type="spellEnd"/>
      <w:r w:rsidR="00581FD9">
        <w:t xml:space="preserve">, 1971, </w:t>
      </w:r>
      <w:r w:rsidR="00AD3437">
        <w:t>72</w:t>
      </w:r>
      <w:r w:rsidR="00581FD9">
        <w:t>)</w:t>
      </w:r>
      <w:r w:rsidRPr="00F9571C">
        <w:t>.</w:t>
      </w:r>
      <w:r>
        <w:t xml:space="preserve"> Esta imagen persiste hasta nuestros días, en su manifestación iconográfica, “el pelícano en su piedad”, que podemos contemplar en </w:t>
      </w:r>
      <w:proofErr w:type="spellStart"/>
      <w:r>
        <w:t>vitraux</w:t>
      </w:r>
      <w:proofErr w:type="spellEnd"/>
      <w:r>
        <w:t xml:space="preserve"> y esculturas. </w:t>
      </w:r>
      <w:r w:rsidR="001B492E">
        <w:rPr>
          <w:lang w:val="es-ES"/>
        </w:rPr>
        <w:t xml:space="preserve">En cuanto al uso político, </w:t>
      </w:r>
      <w:r w:rsidR="001B492E" w:rsidRPr="00937A29">
        <w:t>uno</w:t>
      </w:r>
      <w:r w:rsidRPr="00937A29">
        <w:t xml:space="preserve"> de los primeros antecedentes en la península hispánica lo constituiría la divisa del rey Alfonso X el Sabio, en la que el mote que acompañaba la imagen del pelícano era </w:t>
      </w:r>
      <w:r w:rsidRPr="00937A29">
        <w:rPr>
          <w:i/>
          <w:iCs/>
        </w:rPr>
        <w:t xml:space="preserve">Pro </w:t>
      </w:r>
      <w:proofErr w:type="spellStart"/>
      <w:r w:rsidRPr="00937A29">
        <w:rPr>
          <w:i/>
          <w:iCs/>
        </w:rPr>
        <w:t>lege</w:t>
      </w:r>
      <w:proofErr w:type="spellEnd"/>
      <w:r w:rsidRPr="00937A29">
        <w:rPr>
          <w:i/>
          <w:iCs/>
        </w:rPr>
        <w:t xml:space="preserve"> et </w:t>
      </w:r>
      <w:proofErr w:type="spellStart"/>
      <w:r w:rsidRPr="00937A29">
        <w:rPr>
          <w:i/>
          <w:iCs/>
        </w:rPr>
        <w:t>grege</w:t>
      </w:r>
      <w:proofErr w:type="spellEnd"/>
      <w:r w:rsidRPr="00937A29">
        <w:t>. Pero no hay evidencia documental de este uso cercana a su tiempo, sólo  autores de emblemas que se la atribuyen</w:t>
      </w:r>
      <w:r w:rsidR="00236E29">
        <w:rPr>
          <w:rStyle w:val="Refdenotaalpie"/>
        </w:rPr>
        <w:footnoteReference w:id="1"/>
      </w:r>
      <w:r w:rsidR="00236E29">
        <w:t xml:space="preserve">. </w:t>
      </w:r>
      <w:r w:rsidRPr="00937A29">
        <w:t xml:space="preserve">Pero sí la hay de la divisa de Juan II de Portugal, en el siglo XV. La imagen del pelícano se acompañaba de la letra </w:t>
      </w:r>
      <w:r w:rsidRPr="00937A29">
        <w:rPr>
          <w:i/>
          <w:iCs/>
        </w:rPr>
        <w:t xml:space="preserve">Por </w:t>
      </w:r>
      <w:proofErr w:type="spellStart"/>
      <w:r w:rsidRPr="00937A29">
        <w:rPr>
          <w:i/>
          <w:iCs/>
        </w:rPr>
        <w:t>tua</w:t>
      </w:r>
      <w:proofErr w:type="spellEnd"/>
      <w:r w:rsidRPr="00937A29">
        <w:rPr>
          <w:i/>
          <w:iCs/>
        </w:rPr>
        <w:t xml:space="preserve"> ley e por </w:t>
      </w:r>
      <w:proofErr w:type="spellStart"/>
      <w:r w:rsidRPr="00937A29">
        <w:rPr>
          <w:i/>
          <w:iCs/>
        </w:rPr>
        <w:t>tua</w:t>
      </w:r>
      <w:proofErr w:type="spellEnd"/>
      <w:r w:rsidRPr="00937A29">
        <w:rPr>
          <w:i/>
          <w:iCs/>
        </w:rPr>
        <w:t xml:space="preserve"> grey</w:t>
      </w:r>
      <w:r w:rsidRPr="00937A29">
        <w:t>.  Cabría preguntarse, si, a pesar de la ausencia de esta divisa en monedas, sellos y armoriales alfonsíes, la abundante presencia en emblemas y el hecho de que Juan II la tuviera con la letra en romance no son una evidencia indirecta de su existencia</w:t>
      </w:r>
      <w:r w:rsidR="0029177A">
        <w:rPr>
          <w:rStyle w:val="Refdenotaalpie"/>
        </w:rPr>
        <w:footnoteReference w:id="2"/>
      </w:r>
      <w:r w:rsidR="0029177A" w:rsidRPr="00937A29">
        <w:t xml:space="preserve">. </w:t>
      </w:r>
    </w:p>
    <w:p w:rsidR="0029177A" w:rsidRPr="00D045AD" w:rsidRDefault="0029177A" w:rsidP="00264843">
      <w:pPr>
        <w:ind w:firstLine="708"/>
      </w:pPr>
      <w:r w:rsidRPr="00D045AD">
        <w:t xml:space="preserve">En el </w:t>
      </w:r>
      <w:r w:rsidRPr="00D045AD">
        <w:rPr>
          <w:i/>
          <w:iCs/>
        </w:rPr>
        <w:t>Cancionero</w:t>
      </w:r>
      <w:r w:rsidRPr="00D045AD">
        <w:t xml:space="preserve"> de Pedro de </w:t>
      </w:r>
      <w:proofErr w:type="spellStart"/>
      <w:r w:rsidRPr="00D045AD">
        <w:t>Marcuello</w:t>
      </w:r>
      <w:proofErr w:type="spellEnd"/>
      <w:r w:rsidRPr="00D045AD">
        <w:t xml:space="preserve">, </w:t>
      </w:r>
      <w:r>
        <w:t>obra compuesta</w:t>
      </w:r>
      <w:r w:rsidRPr="00531686">
        <w:rPr>
          <w:rFonts w:ascii="Junicode" w:eastAsia="Times New Roman" w:hAnsi="Junicode" w:cs="Times New Roman"/>
          <w:bCs/>
          <w:color w:val="000000"/>
          <w:szCs w:val="24"/>
          <w:lang w:eastAsia="ar-SA"/>
        </w:rPr>
        <w:t xml:space="preserve"> </w:t>
      </w:r>
      <w:r w:rsidRPr="00531686">
        <w:rPr>
          <w:bCs/>
        </w:rPr>
        <w:t>entre los años 1482 y 1502</w:t>
      </w:r>
      <w:r>
        <w:rPr>
          <w:bCs/>
        </w:rPr>
        <w:t xml:space="preserve">, </w:t>
      </w:r>
      <w:r w:rsidRPr="00531686">
        <w:rPr>
          <w:bCs/>
        </w:rPr>
        <w:t>dedicada a los Reyes Católicos, y luego a Juana, su hija,</w:t>
      </w:r>
      <w:r>
        <w:t xml:space="preserve"> </w:t>
      </w:r>
      <w:r w:rsidRPr="00D045AD">
        <w:t>se alude también al pelícano, refiriéndose a Fernando el Católico:</w:t>
      </w:r>
    </w:p>
    <w:p w:rsidR="0029177A" w:rsidRDefault="0029177A" w:rsidP="00B332E5">
      <w:pPr>
        <w:spacing w:line="240" w:lineRule="auto"/>
      </w:pPr>
    </w:p>
    <w:p w:rsidR="0029177A" w:rsidRPr="00D045AD" w:rsidRDefault="0029177A" w:rsidP="00B332E5">
      <w:pPr>
        <w:spacing w:line="240" w:lineRule="auto"/>
        <w:rPr>
          <w:lang w:val="es-ES"/>
        </w:rPr>
      </w:pPr>
      <w:proofErr w:type="gramStart"/>
      <w:r w:rsidRPr="00D045AD">
        <w:t>y</w:t>
      </w:r>
      <w:proofErr w:type="gramEnd"/>
      <w:r w:rsidRPr="00D045AD">
        <w:t xml:space="preserve"> el </w:t>
      </w:r>
      <w:proofErr w:type="spellStart"/>
      <w:r w:rsidRPr="00D045AD">
        <w:t>pellícano</w:t>
      </w:r>
      <w:proofErr w:type="spellEnd"/>
      <w:r w:rsidRPr="00D045AD">
        <w:t xml:space="preserve"> es mi rey,</w:t>
      </w:r>
    </w:p>
    <w:p w:rsidR="0029177A" w:rsidRPr="00D045AD" w:rsidRDefault="0029177A" w:rsidP="00B332E5">
      <w:pPr>
        <w:spacing w:line="240" w:lineRule="auto"/>
        <w:rPr>
          <w:lang w:val="es-ES"/>
        </w:rPr>
      </w:pPr>
      <w:proofErr w:type="gramStart"/>
      <w:r w:rsidRPr="00D045AD">
        <w:rPr>
          <w:lang w:val="es-ES"/>
        </w:rPr>
        <w:t>según</w:t>
      </w:r>
      <w:proofErr w:type="gramEnd"/>
      <w:r w:rsidRPr="00D045AD">
        <w:rPr>
          <w:lang w:val="es-ES"/>
        </w:rPr>
        <w:t xml:space="preserve"> demuestra en sus </w:t>
      </w:r>
      <w:proofErr w:type="spellStart"/>
      <w:r w:rsidRPr="00D045AD">
        <w:rPr>
          <w:lang w:val="es-ES"/>
        </w:rPr>
        <w:t>echos</w:t>
      </w:r>
      <w:proofErr w:type="spellEnd"/>
      <w:r w:rsidRPr="00D045AD">
        <w:rPr>
          <w:lang w:val="es-ES"/>
        </w:rPr>
        <w:t>,</w:t>
      </w:r>
    </w:p>
    <w:p w:rsidR="0029177A" w:rsidRPr="00D045AD" w:rsidRDefault="0029177A" w:rsidP="00B332E5">
      <w:pPr>
        <w:spacing w:line="240" w:lineRule="auto"/>
        <w:rPr>
          <w:lang w:val="es-ES"/>
        </w:rPr>
      </w:pPr>
      <w:proofErr w:type="gramStart"/>
      <w:r w:rsidRPr="00D045AD">
        <w:rPr>
          <w:lang w:val="es-ES"/>
        </w:rPr>
        <w:t>que</w:t>
      </w:r>
      <w:proofErr w:type="gramEnd"/>
      <w:r w:rsidRPr="00D045AD">
        <w:rPr>
          <w:lang w:val="es-ES"/>
        </w:rPr>
        <w:t xml:space="preserve"> por la </w:t>
      </w:r>
      <w:proofErr w:type="spellStart"/>
      <w:r w:rsidRPr="00D045AD">
        <w:rPr>
          <w:lang w:val="es-ES"/>
        </w:rPr>
        <w:t>ffe</w:t>
      </w:r>
      <w:proofErr w:type="spellEnd"/>
      <w:r w:rsidRPr="00D045AD">
        <w:rPr>
          <w:lang w:val="es-ES"/>
        </w:rPr>
        <w:t xml:space="preserve"> y santa ley</w:t>
      </w:r>
    </w:p>
    <w:p w:rsidR="0029177A" w:rsidRPr="00D045AD" w:rsidRDefault="0029177A" w:rsidP="00B332E5">
      <w:pPr>
        <w:spacing w:line="240" w:lineRule="auto"/>
        <w:rPr>
          <w:lang w:val="es-ES"/>
        </w:rPr>
      </w:pPr>
      <w:proofErr w:type="gramStart"/>
      <w:r w:rsidRPr="00D045AD">
        <w:rPr>
          <w:lang w:val="es-ES"/>
        </w:rPr>
        <w:t>ofrece</w:t>
      </w:r>
      <w:proofErr w:type="gramEnd"/>
      <w:r w:rsidRPr="00D045AD">
        <w:rPr>
          <w:lang w:val="es-ES"/>
        </w:rPr>
        <w:t xml:space="preserve"> la vida y grey</w:t>
      </w:r>
    </w:p>
    <w:p w:rsidR="0029177A" w:rsidRDefault="0029177A" w:rsidP="00B332E5">
      <w:pPr>
        <w:spacing w:line="240" w:lineRule="auto"/>
        <w:rPr>
          <w:lang w:val="es-ES"/>
        </w:rPr>
      </w:pPr>
      <w:proofErr w:type="gramStart"/>
      <w:r w:rsidRPr="00D045AD">
        <w:rPr>
          <w:lang w:val="es-ES"/>
        </w:rPr>
        <w:t>y</w:t>
      </w:r>
      <w:proofErr w:type="gramEnd"/>
      <w:r w:rsidRPr="00D045AD">
        <w:rPr>
          <w:lang w:val="es-ES"/>
        </w:rPr>
        <w:t xml:space="preserve"> la sangre de sus pechos.</w:t>
      </w:r>
    </w:p>
    <w:p w:rsidR="0029177A" w:rsidRPr="004B6CAA" w:rsidRDefault="0029177A" w:rsidP="004B6CAA">
      <w:pPr>
        <w:spacing w:line="240" w:lineRule="auto"/>
        <w:rPr>
          <w:lang w:val="es-ES"/>
        </w:rPr>
      </w:pPr>
      <w:r w:rsidRPr="004B6CAA">
        <w:rPr>
          <w:lang w:val="es-ES"/>
        </w:rPr>
        <w:lastRenderedPageBreak/>
        <w:t>(Blecua, 1987, p.157)</w:t>
      </w:r>
    </w:p>
    <w:p w:rsidR="0029177A" w:rsidRDefault="006853E7" w:rsidP="00B1467B">
      <w:r>
        <w:t xml:space="preserve">                                    </w:t>
      </w:r>
    </w:p>
    <w:p w:rsidR="0029177A" w:rsidRDefault="0029177A" w:rsidP="00264843">
      <w:pPr>
        <w:ind w:firstLine="708"/>
      </w:pPr>
      <w:r w:rsidRPr="00D045AD">
        <w:t xml:space="preserve">Se advierte una ligera variante en la elaboración poética del lema, ya que aquí el rey, por la fe y  </w:t>
      </w:r>
      <w:r>
        <w:t xml:space="preserve">la </w:t>
      </w:r>
      <w:r w:rsidRPr="00D045AD">
        <w:t xml:space="preserve">ley,  da su vida, pero también la de su pueblo. Recordemos que el poema celebra la guerra de Granada, lo que justifica la ofrenda de su sangre y de su gente. </w:t>
      </w:r>
      <w:r>
        <w:t xml:space="preserve">Como el pelícano padre </w:t>
      </w:r>
      <w:r w:rsidRPr="00F84EE4">
        <w:t xml:space="preserve">da la vida </w:t>
      </w:r>
      <w:r>
        <w:t>por amor a sus hijos, así también el rey la da por amor a su pueblo</w:t>
      </w:r>
      <w:r>
        <w:rPr>
          <w:rStyle w:val="Refdenotaalpie"/>
        </w:rPr>
        <w:footnoteReference w:id="3"/>
      </w:r>
      <w:r>
        <w:t>.</w:t>
      </w:r>
    </w:p>
    <w:p w:rsidR="0029177A" w:rsidRDefault="0029177A" w:rsidP="00264843">
      <w:pPr>
        <w:ind w:firstLine="708"/>
      </w:pPr>
      <w:r w:rsidRPr="00D045AD">
        <w:t xml:space="preserve">El motivo siguió vigente en los siglos posteriores. Por ejemplo, Isabel I de Inglaterra fue retratada en 1575 por Nicholas </w:t>
      </w:r>
      <w:proofErr w:type="spellStart"/>
      <w:r w:rsidRPr="00D045AD">
        <w:t>Hilliard</w:t>
      </w:r>
      <w:proofErr w:type="spellEnd"/>
      <w:r w:rsidRPr="00D045AD">
        <w:t xml:space="preserve"> con un colgante en su pecho con el emblema del pelícano</w:t>
      </w:r>
      <w:r>
        <w:t>, en un contexto político</w:t>
      </w:r>
      <w:r w:rsidRPr="00D045AD">
        <w:t xml:space="preserve"> </w:t>
      </w:r>
      <w:r>
        <w:t xml:space="preserve">en el cual la reina, que se negaba a contraer matrimonio, aun a riesgo de no asegurar un descendiente directo al trono, buscaba construir su imagen como madre del pueblo inglés. </w:t>
      </w:r>
    </w:p>
    <w:p w:rsidR="0029177A" w:rsidRDefault="0029177A" w:rsidP="00D401EC">
      <w:pPr>
        <w:tabs>
          <w:tab w:val="left" w:pos="1450"/>
        </w:tabs>
        <w:rPr>
          <w:i/>
          <w:iCs/>
        </w:rPr>
      </w:pPr>
      <w:r w:rsidRPr="00D0163D">
        <w:t xml:space="preserve">Guillermo de Orange, para la misma época, llevaba en algunos de sus estandartes un pelícano, y en otros el lema </w:t>
      </w:r>
      <w:r w:rsidRPr="00D0163D">
        <w:rPr>
          <w:i/>
          <w:iCs/>
        </w:rPr>
        <w:t xml:space="preserve">Pro </w:t>
      </w:r>
      <w:proofErr w:type="spellStart"/>
      <w:r w:rsidRPr="00D0163D">
        <w:rPr>
          <w:i/>
          <w:iCs/>
        </w:rPr>
        <w:t>lege</w:t>
      </w:r>
      <w:proofErr w:type="spellEnd"/>
      <w:r w:rsidRPr="00D0163D">
        <w:t xml:space="preserve">, </w:t>
      </w:r>
      <w:proofErr w:type="spellStart"/>
      <w:r w:rsidRPr="00D0163D">
        <w:rPr>
          <w:i/>
          <w:iCs/>
        </w:rPr>
        <w:t>grege</w:t>
      </w:r>
      <w:proofErr w:type="spellEnd"/>
      <w:r w:rsidRPr="00D0163D">
        <w:rPr>
          <w:i/>
          <w:iCs/>
        </w:rPr>
        <w:t xml:space="preserve"> et </w:t>
      </w:r>
      <w:proofErr w:type="spellStart"/>
      <w:r w:rsidRPr="00D0163D">
        <w:rPr>
          <w:i/>
          <w:iCs/>
        </w:rPr>
        <w:t>rege</w:t>
      </w:r>
      <w:proofErr w:type="spellEnd"/>
      <w:r w:rsidRPr="00D0163D">
        <w:rPr>
          <w:vertAlign w:val="superscript"/>
          <w:lang w:val="es-ES"/>
        </w:rPr>
        <w:footnoteReference w:id="4"/>
      </w:r>
      <w:r w:rsidRPr="00D0163D">
        <w:rPr>
          <w:vertAlign w:val="superscript"/>
          <w:lang w:val="es-ES"/>
        </w:rPr>
        <w:t>.</w:t>
      </w:r>
      <w:r w:rsidRPr="00D0163D">
        <w:t xml:space="preserve">    También aparece en las colecciones de emblemas que mencionamos más arriba, con el mismo y con otros lemas</w:t>
      </w:r>
      <w:r w:rsidRPr="00D0163D">
        <w:rPr>
          <w:vertAlign w:val="superscript"/>
          <w:lang w:val="es-ES"/>
        </w:rPr>
        <w:footnoteReference w:id="5"/>
      </w:r>
      <w:r w:rsidRPr="00D0163D">
        <w:t>, y en el teatro del Siglo de Oro, de lo cual es muestra la obra de Calderón de la Barca</w:t>
      </w:r>
      <w:r w:rsidRPr="00D0163D">
        <w:rPr>
          <w:i/>
          <w:iCs/>
        </w:rPr>
        <w:t>,</w:t>
      </w:r>
      <w:r>
        <w:rPr>
          <w:i/>
          <w:iCs/>
        </w:rPr>
        <w:t xml:space="preserve"> </w:t>
      </w:r>
      <w:r w:rsidRPr="00710E4C">
        <w:rPr>
          <w:i/>
          <w:iCs/>
        </w:rPr>
        <w:t xml:space="preserve">El tamborilero, </w:t>
      </w:r>
      <w:r w:rsidRPr="00710E4C">
        <w:rPr>
          <w:iCs/>
        </w:rPr>
        <w:t>fin de fiesta de</w:t>
      </w:r>
      <w:r w:rsidRPr="00710E4C">
        <w:rPr>
          <w:i/>
          <w:iCs/>
        </w:rPr>
        <w:t xml:space="preserve"> Fieras afemina </w:t>
      </w:r>
      <w:r w:rsidRPr="00BD331D">
        <w:rPr>
          <w:iCs/>
        </w:rPr>
        <w:t>amor</w:t>
      </w:r>
      <w:r w:rsidRPr="00710E4C">
        <w:rPr>
          <w:i/>
          <w:iCs/>
        </w:rPr>
        <w:t xml:space="preserve">, </w:t>
      </w:r>
      <w:r w:rsidRPr="00710E4C">
        <w:rPr>
          <w:iCs/>
        </w:rPr>
        <w:t>en la que el ave representa a Carlos II</w:t>
      </w:r>
      <w:r w:rsidRPr="00710E4C">
        <w:rPr>
          <w:iCs/>
          <w:vertAlign w:val="superscript"/>
        </w:rPr>
        <w:footnoteReference w:id="6"/>
      </w:r>
      <w:r w:rsidRPr="00710E4C">
        <w:rPr>
          <w:iCs/>
        </w:rPr>
        <w:t>.</w:t>
      </w:r>
      <w:r w:rsidRPr="00710E4C">
        <w:rPr>
          <w:i/>
          <w:iCs/>
        </w:rPr>
        <w:t xml:space="preserve"> </w:t>
      </w:r>
    </w:p>
    <w:p w:rsidR="0029177A" w:rsidRDefault="00264843" w:rsidP="00D401EC">
      <w:pPr>
        <w:tabs>
          <w:tab w:val="left" w:pos="1450"/>
        </w:tabs>
      </w:pPr>
      <w:r>
        <w:tab/>
      </w:r>
      <w:r w:rsidR="0029177A">
        <w:t xml:space="preserve">El fénix, cuya historia muy probablemente comenzara en Egipto, tuvo una amplia  tradición escrita en la antigüedad grecolatina. De las diferentes versiones del mito, la narración que finalmente se consolida y transmite es que el fénix es un ejemplar único en su especie, que cada quinientos años, al sentir sus fuerzas próximas al fin, se incinera él mismo en una pira de maderas olorosas que construye a tal fin, y de cuyas cenizas surge un gusano que en tres días se transforma en un nuevo fénix. Este es el relato que recoge </w:t>
      </w:r>
      <w:r w:rsidR="0029177A" w:rsidRPr="00675764">
        <w:rPr>
          <w:i/>
        </w:rPr>
        <w:t>El</w:t>
      </w:r>
      <w:r w:rsidR="0029177A" w:rsidRPr="00640B8B">
        <w:t xml:space="preserve"> </w:t>
      </w:r>
      <w:r w:rsidR="0029177A" w:rsidRPr="00640B8B">
        <w:rPr>
          <w:i/>
        </w:rPr>
        <w:t>Fisiólogo</w:t>
      </w:r>
      <w:r w:rsidR="0029177A">
        <w:t xml:space="preserve">, y lo interpreta como figura de Cristo, que sufre </w:t>
      </w:r>
      <w:r w:rsidR="0029177A" w:rsidRPr="0036777A">
        <w:rPr>
          <w:u w:val="single"/>
        </w:rPr>
        <w:t>el</w:t>
      </w:r>
      <w:r w:rsidR="0029177A">
        <w:t xml:space="preserve"> suplicio, muere  y resucita a los tres </w:t>
      </w:r>
      <w:r w:rsidR="0029177A">
        <w:lastRenderedPageBreak/>
        <w:t>días</w:t>
      </w:r>
      <w:r w:rsidR="00E2256A">
        <w:t xml:space="preserve"> </w:t>
      </w:r>
      <w:r w:rsidR="00E2256A" w:rsidRPr="00E2256A">
        <w:t>(</w:t>
      </w:r>
      <w:proofErr w:type="spellStart"/>
      <w:r w:rsidR="00E2256A" w:rsidRPr="00E2256A">
        <w:t>Guglielmi</w:t>
      </w:r>
      <w:proofErr w:type="spellEnd"/>
      <w:r w:rsidR="00E2256A" w:rsidRPr="00E2256A">
        <w:t xml:space="preserve">, </w:t>
      </w:r>
      <w:r w:rsidR="00BC634F">
        <w:t>2002</w:t>
      </w:r>
      <w:r w:rsidR="00E2256A" w:rsidRPr="00E2256A">
        <w:t xml:space="preserve">, </w:t>
      </w:r>
      <w:r w:rsidR="00784A79">
        <w:t>75</w:t>
      </w:r>
      <w:r w:rsidR="00E2256A" w:rsidRPr="00E2256A">
        <w:t>).</w:t>
      </w:r>
      <w:r w:rsidR="00E2256A">
        <w:t xml:space="preserve"> </w:t>
      </w:r>
      <w:r w:rsidR="0029177A">
        <w:t>Los bestiarios lo reproducen</w:t>
      </w:r>
      <w:r w:rsidR="0029177A" w:rsidRPr="00A47E20">
        <w:t xml:space="preserve"> </w:t>
      </w:r>
      <w:r w:rsidR="0029177A">
        <w:t xml:space="preserve">con más o menos variantes. </w:t>
      </w:r>
      <w:r w:rsidR="0029177A" w:rsidRPr="00640B8B">
        <w:t xml:space="preserve"> </w:t>
      </w:r>
      <w:r w:rsidR="0029177A" w:rsidRPr="001E481F">
        <w:t>Así fijado, el mito del fénix destaca la androginia del ave, la reproducción asexuada, su condición de único en su especie, la inmortalidad</w:t>
      </w:r>
      <w:r w:rsidR="0029177A" w:rsidRPr="001E481F">
        <w:rPr>
          <w:u w:val="single"/>
        </w:rPr>
        <w:t>,</w:t>
      </w:r>
      <w:r w:rsidR="0029177A">
        <w:t xml:space="preserve"> la </w:t>
      </w:r>
      <w:r w:rsidR="0029177A" w:rsidRPr="001E481F">
        <w:t>muerte  por cremación y el resurgimiento de las cenizas</w:t>
      </w:r>
      <w:r w:rsidR="0029177A">
        <w:t xml:space="preserve">. </w:t>
      </w:r>
      <w:r w:rsidR="0029177A" w:rsidRPr="001E481F">
        <w:t xml:space="preserve"> </w:t>
      </w:r>
    </w:p>
    <w:p w:rsidR="00D4606B" w:rsidRDefault="00264843" w:rsidP="00D401EC">
      <w:pPr>
        <w:tabs>
          <w:tab w:val="left" w:pos="1450"/>
        </w:tabs>
        <w:rPr>
          <w:bCs/>
        </w:rPr>
      </w:pPr>
      <w:r>
        <w:tab/>
      </w:r>
      <w:r w:rsidR="0029177A">
        <w:t xml:space="preserve">Los poetas del entorno de Isabel La Católica recurrieron a la comparación de la reina con el fénix para exaltar su cualidad de excepcional y única entre todas las mujeres. </w:t>
      </w:r>
      <w:r w:rsidR="0029177A" w:rsidRPr="0023330C">
        <w:rPr>
          <w:bCs/>
        </w:rPr>
        <w:t xml:space="preserve">En </w:t>
      </w:r>
      <w:r w:rsidR="0029177A">
        <w:rPr>
          <w:bCs/>
        </w:rPr>
        <w:t xml:space="preserve">el </w:t>
      </w:r>
      <w:r w:rsidR="0029177A" w:rsidRPr="0023330C">
        <w:rPr>
          <w:bCs/>
          <w:i/>
        </w:rPr>
        <w:t>Cancionero</w:t>
      </w:r>
      <w:r w:rsidR="0029177A">
        <w:rPr>
          <w:bCs/>
        </w:rPr>
        <w:t xml:space="preserve"> de </w:t>
      </w:r>
      <w:r w:rsidR="0029177A" w:rsidRPr="002224FC">
        <w:rPr>
          <w:bCs/>
        </w:rPr>
        <w:t xml:space="preserve">Pedro de </w:t>
      </w:r>
      <w:proofErr w:type="spellStart"/>
      <w:r w:rsidR="0029177A" w:rsidRPr="002224FC">
        <w:rPr>
          <w:bCs/>
        </w:rPr>
        <w:t>Marcuello</w:t>
      </w:r>
      <w:proofErr w:type="spellEnd"/>
      <w:r w:rsidR="0029177A">
        <w:rPr>
          <w:bCs/>
        </w:rPr>
        <w:t>, ya mencionado a propósito del pelícano, y en el mismo poema,</w:t>
      </w:r>
      <w:r w:rsidR="0029177A" w:rsidRPr="0023330C">
        <w:rPr>
          <w:bCs/>
        </w:rPr>
        <w:t xml:space="preserve"> </w:t>
      </w:r>
      <w:r w:rsidR="0029177A">
        <w:rPr>
          <w:bCs/>
        </w:rPr>
        <w:t xml:space="preserve">el personaje de la </w:t>
      </w:r>
      <w:proofErr w:type="spellStart"/>
      <w:r w:rsidR="0029177A">
        <w:rPr>
          <w:bCs/>
        </w:rPr>
        <w:t>Donzella</w:t>
      </w:r>
      <w:proofErr w:type="spellEnd"/>
      <w:r w:rsidR="0029177A">
        <w:rPr>
          <w:bCs/>
        </w:rPr>
        <w:t xml:space="preserve">, </w:t>
      </w:r>
      <w:r w:rsidR="0029177A" w:rsidRPr="0023330C">
        <w:rPr>
          <w:bCs/>
        </w:rPr>
        <w:t>se dirige a</w:t>
      </w:r>
      <w:r w:rsidR="0029177A">
        <w:rPr>
          <w:bCs/>
        </w:rPr>
        <w:t xml:space="preserve">l ave y dice: </w:t>
      </w:r>
    </w:p>
    <w:p w:rsidR="00D4606B" w:rsidRDefault="0029177A" w:rsidP="00D4606B">
      <w:pPr>
        <w:tabs>
          <w:tab w:val="left" w:pos="1450"/>
        </w:tabs>
        <w:spacing w:line="240" w:lineRule="auto"/>
        <w:rPr>
          <w:bCs/>
        </w:rPr>
      </w:pPr>
      <w:r w:rsidRPr="00050829">
        <w:rPr>
          <w:bCs/>
        </w:rPr>
        <w:t xml:space="preserve">Si a </w:t>
      </w:r>
      <w:proofErr w:type="spellStart"/>
      <w:r w:rsidRPr="00050829">
        <w:rPr>
          <w:bCs/>
        </w:rPr>
        <w:t>ty</w:t>
      </w:r>
      <w:proofErr w:type="spellEnd"/>
      <w:r w:rsidRPr="00050829">
        <w:rPr>
          <w:bCs/>
        </w:rPr>
        <w:t xml:space="preserve"> sola entre las aves</w:t>
      </w:r>
    </w:p>
    <w:p w:rsidR="00D4606B" w:rsidRDefault="0029177A" w:rsidP="00D4606B">
      <w:pPr>
        <w:tabs>
          <w:tab w:val="left" w:pos="1450"/>
        </w:tabs>
        <w:spacing w:line="240" w:lineRule="auto"/>
        <w:rPr>
          <w:bCs/>
        </w:rPr>
      </w:pPr>
      <w:proofErr w:type="gramStart"/>
      <w:r w:rsidRPr="00050829">
        <w:rPr>
          <w:bCs/>
        </w:rPr>
        <w:t>hizo</w:t>
      </w:r>
      <w:proofErr w:type="gramEnd"/>
      <w:r w:rsidRPr="00050829">
        <w:rPr>
          <w:bCs/>
        </w:rPr>
        <w:t xml:space="preserve"> sin par el </w:t>
      </w:r>
      <w:proofErr w:type="spellStart"/>
      <w:r w:rsidRPr="00050829">
        <w:rPr>
          <w:bCs/>
        </w:rPr>
        <w:t>Senyor</w:t>
      </w:r>
      <w:proofErr w:type="spellEnd"/>
      <w:r>
        <w:rPr>
          <w:bCs/>
        </w:rPr>
        <w:t xml:space="preserve"> </w:t>
      </w:r>
    </w:p>
    <w:p w:rsidR="00D4606B" w:rsidRDefault="0029177A" w:rsidP="00D4606B">
      <w:pPr>
        <w:tabs>
          <w:tab w:val="left" w:pos="1450"/>
        </w:tabs>
        <w:spacing w:line="240" w:lineRule="auto"/>
        <w:rPr>
          <w:bCs/>
        </w:rPr>
      </w:pPr>
      <w:proofErr w:type="gramStart"/>
      <w:r w:rsidRPr="00050829">
        <w:rPr>
          <w:bCs/>
        </w:rPr>
        <w:t>a</w:t>
      </w:r>
      <w:proofErr w:type="gramEnd"/>
      <w:r w:rsidRPr="00050829">
        <w:rPr>
          <w:bCs/>
        </w:rPr>
        <w:t xml:space="preserve"> mi Reyna dio las llaves</w:t>
      </w:r>
      <w:r>
        <w:rPr>
          <w:bCs/>
        </w:rPr>
        <w:t xml:space="preserve"> </w:t>
      </w:r>
    </w:p>
    <w:p w:rsidR="00D4606B" w:rsidRDefault="0029177A" w:rsidP="00D4606B">
      <w:pPr>
        <w:tabs>
          <w:tab w:val="left" w:pos="1450"/>
        </w:tabs>
        <w:spacing w:line="240" w:lineRule="auto"/>
        <w:rPr>
          <w:bCs/>
        </w:rPr>
      </w:pPr>
      <w:proofErr w:type="gramStart"/>
      <w:r w:rsidRPr="00050829">
        <w:rPr>
          <w:bCs/>
        </w:rPr>
        <w:t>de</w:t>
      </w:r>
      <w:proofErr w:type="gramEnd"/>
      <w:r w:rsidRPr="00050829">
        <w:rPr>
          <w:bCs/>
        </w:rPr>
        <w:t xml:space="preserve"> las arcas de bondades,</w:t>
      </w:r>
      <w:r>
        <w:rPr>
          <w:bCs/>
        </w:rPr>
        <w:t xml:space="preserve"> </w:t>
      </w:r>
    </w:p>
    <w:p w:rsidR="00D4606B" w:rsidRDefault="0029177A" w:rsidP="00D4606B">
      <w:pPr>
        <w:tabs>
          <w:tab w:val="left" w:pos="1450"/>
        </w:tabs>
        <w:spacing w:line="240" w:lineRule="auto"/>
        <w:rPr>
          <w:bCs/>
        </w:rPr>
      </w:pPr>
      <w:proofErr w:type="gramStart"/>
      <w:r w:rsidRPr="00050829">
        <w:rPr>
          <w:bCs/>
        </w:rPr>
        <w:t>yo</w:t>
      </w:r>
      <w:proofErr w:type="gramEnd"/>
      <w:r w:rsidRPr="00050829">
        <w:rPr>
          <w:bCs/>
        </w:rPr>
        <w:t xml:space="preserve"> afirmo ser la mejor</w:t>
      </w:r>
    </w:p>
    <w:p w:rsidR="0029177A" w:rsidRDefault="0029177A" w:rsidP="00D4606B">
      <w:pPr>
        <w:tabs>
          <w:tab w:val="left" w:pos="1450"/>
        </w:tabs>
        <w:spacing w:line="240" w:lineRule="auto"/>
        <w:rPr>
          <w:bCs/>
        </w:rPr>
      </w:pPr>
      <w:r w:rsidRPr="0023330C">
        <w:rPr>
          <w:bCs/>
        </w:rPr>
        <w:t>(Blecua 1987: 157)</w:t>
      </w:r>
      <w:r>
        <w:rPr>
          <w:bCs/>
        </w:rPr>
        <w:t xml:space="preserve">. </w:t>
      </w:r>
    </w:p>
    <w:p w:rsidR="00D4606B" w:rsidRDefault="00D4606B" w:rsidP="00D4606B">
      <w:pPr>
        <w:tabs>
          <w:tab w:val="left" w:pos="1450"/>
        </w:tabs>
        <w:spacing w:line="240" w:lineRule="auto"/>
        <w:rPr>
          <w:bCs/>
        </w:rPr>
      </w:pPr>
    </w:p>
    <w:p w:rsidR="0029177A" w:rsidRDefault="00264843" w:rsidP="00D401EC">
      <w:pPr>
        <w:tabs>
          <w:tab w:val="left" w:pos="1450"/>
        </w:tabs>
        <w:rPr>
          <w:bCs/>
          <w:iCs/>
        </w:rPr>
      </w:pPr>
      <w:r>
        <w:rPr>
          <w:bCs/>
        </w:rPr>
        <w:tab/>
      </w:r>
      <w:r w:rsidR="0029177A" w:rsidRPr="0023330C">
        <w:rPr>
          <w:bCs/>
        </w:rPr>
        <w:t xml:space="preserve">Isabel supera al fénix por su cualidad de única: lo es por ser la mejor en </w:t>
      </w:r>
      <w:r w:rsidR="0029177A">
        <w:rPr>
          <w:bCs/>
        </w:rPr>
        <w:t xml:space="preserve">bondades, </w:t>
      </w:r>
      <w:r w:rsidR="0029177A" w:rsidRPr="0023330C">
        <w:rPr>
          <w:bCs/>
        </w:rPr>
        <w:t xml:space="preserve"> </w:t>
      </w:r>
      <w:r w:rsidR="0029177A" w:rsidRPr="00FC22F8">
        <w:rPr>
          <w:bCs/>
          <w:iCs/>
        </w:rPr>
        <w:t>en el sentido de virtudes y perfección</w:t>
      </w:r>
      <w:r w:rsidR="00A5009C">
        <w:rPr>
          <w:bCs/>
          <w:iCs/>
        </w:rPr>
        <w:t>.</w:t>
      </w:r>
    </w:p>
    <w:p w:rsidR="00C779CC" w:rsidRDefault="00A5009C" w:rsidP="00C779CC">
      <w:pPr>
        <w:tabs>
          <w:tab w:val="left" w:pos="1450"/>
        </w:tabs>
        <w:rPr>
          <w:bCs/>
          <w:iCs/>
        </w:rPr>
      </w:pPr>
      <w:r>
        <w:rPr>
          <w:bCs/>
          <w:iCs/>
        </w:rPr>
        <w:t xml:space="preserve">Pinar en </w:t>
      </w:r>
      <w:r w:rsidR="00D4606B">
        <w:rPr>
          <w:bCs/>
          <w:iCs/>
        </w:rPr>
        <w:t xml:space="preserve">el </w:t>
      </w:r>
      <w:r w:rsidRPr="00A5009C">
        <w:rPr>
          <w:bCs/>
          <w:i/>
          <w:iCs/>
        </w:rPr>
        <w:t xml:space="preserve">Juego </w:t>
      </w:r>
      <w:proofErr w:type="spellStart"/>
      <w:r w:rsidRPr="00A5009C">
        <w:rPr>
          <w:bCs/>
          <w:i/>
          <w:iCs/>
        </w:rPr>
        <w:t>Trobado</w:t>
      </w:r>
      <w:proofErr w:type="spellEnd"/>
      <w:r w:rsidR="007979FF">
        <w:rPr>
          <w:bCs/>
          <w:iCs/>
        </w:rPr>
        <w:t xml:space="preserve">, </w:t>
      </w:r>
      <w:r w:rsidR="00DE27B6">
        <w:rPr>
          <w:bCs/>
          <w:iCs/>
        </w:rPr>
        <w:t>donde cada estrofa asigna  al jugador un</w:t>
      </w:r>
      <w:r w:rsidR="00CD3B22">
        <w:rPr>
          <w:bCs/>
          <w:iCs/>
        </w:rPr>
        <w:t xml:space="preserve"> árbol, un ave, una canción y </w:t>
      </w:r>
      <w:r w:rsidR="00934146">
        <w:rPr>
          <w:bCs/>
          <w:iCs/>
        </w:rPr>
        <w:t>un refrán,</w:t>
      </w:r>
      <w:r w:rsidR="000A670E">
        <w:rPr>
          <w:bCs/>
          <w:iCs/>
        </w:rPr>
        <w:t xml:space="preserve"> </w:t>
      </w:r>
      <w:r w:rsidR="00934146">
        <w:rPr>
          <w:bCs/>
          <w:iCs/>
        </w:rPr>
        <w:t>en la que corresponde a la reina dice</w:t>
      </w:r>
      <w:r w:rsidR="00C779CC">
        <w:rPr>
          <w:bCs/>
          <w:iCs/>
        </w:rPr>
        <w:t xml:space="preserve">: </w:t>
      </w:r>
      <w:r w:rsidR="004C305A">
        <w:rPr>
          <w:bCs/>
          <w:iCs/>
        </w:rPr>
        <w:t xml:space="preserve"> </w:t>
      </w:r>
    </w:p>
    <w:p w:rsidR="00C779CC" w:rsidRPr="00C779CC" w:rsidRDefault="00C779CC" w:rsidP="0067602E">
      <w:pPr>
        <w:tabs>
          <w:tab w:val="left" w:pos="1450"/>
        </w:tabs>
        <w:spacing w:line="240" w:lineRule="auto"/>
        <w:rPr>
          <w:bCs/>
          <w:iCs/>
        </w:rPr>
      </w:pPr>
      <w:r w:rsidRPr="00C779CC">
        <w:rPr>
          <w:bCs/>
          <w:iCs/>
        </w:rPr>
        <w:t>Tome vue</w:t>
      </w:r>
      <w:r>
        <w:rPr>
          <w:bCs/>
          <w:iCs/>
        </w:rPr>
        <w:t>s</w:t>
      </w:r>
      <w:r w:rsidRPr="00C779CC">
        <w:rPr>
          <w:bCs/>
          <w:iCs/>
        </w:rPr>
        <w:t xml:space="preserve">tra </w:t>
      </w:r>
      <w:proofErr w:type="spellStart"/>
      <w:r w:rsidRPr="00C779CC">
        <w:rPr>
          <w:bCs/>
          <w:iCs/>
        </w:rPr>
        <w:t>m</w:t>
      </w:r>
      <w:r w:rsidR="0067602E">
        <w:rPr>
          <w:bCs/>
          <w:iCs/>
        </w:rPr>
        <w:t>a</w:t>
      </w:r>
      <w:r w:rsidRPr="00C779CC">
        <w:rPr>
          <w:bCs/>
          <w:iCs/>
        </w:rPr>
        <w:t>ge</w:t>
      </w:r>
      <w:r>
        <w:rPr>
          <w:bCs/>
          <w:iCs/>
        </w:rPr>
        <w:t>s</w:t>
      </w:r>
      <w:r w:rsidR="0067602E">
        <w:rPr>
          <w:bCs/>
          <w:iCs/>
        </w:rPr>
        <w:t>tad</w:t>
      </w:r>
      <w:proofErr w:type="spellEnd"/>
    </w:p>
    <w:p w:rsidR="00C779CC" w:rsidRPr="00C779CC" w:rsidRDefault="00C779CC" w:rsidP="0067602E">
      <w:pPr>
        <w:tabs>
          <w:tab w:val="left" w:pos="1450"/>
        </w:tabs>
        <w:spacing w:line="240" w:lineRule="auto"/>
        <w:rPr>
          <w:bCs/>
          <w:iCs/>
        </w:rPr>
      </w:pPr>
      <w:proofErr w:type="gramStart"/>
      <w:r w:rsidRPr="00C779CC">
        <w:rPr>
          <w:bCs/>
          <w:iCs/>
        </w:rPr>
        <w:t>primero</w:t>
      </w:r>
      <w:proofErr w:type="gramEnd"/>
      <w:r w:rsidRPr="00C779CC">
        <w:rPr>
          <w:bCs/>
          <w:iCs/>
        </w:rPr>
        <w:t xml:space="preserve"> como primera</w:t>
      </w:r>
    </w:p>
    <w:p w:rsidR="00C779CC" w:rsidRPr="00C779CC" w:rsidRDefault="00C779CC" w:rsidP="0067602E">
      <w:pPr>
        <w:tabs>
          <w:tab w:val="left" w:pos="1450"/>
        </w:tabs>
        <w:spacing w:line="240" w:lineRule="auto"/>
        <w:rPr>
          <w:bCs/>
          <w:iCs/>
        </w:rPr>
      </w:pPr>
      <w:proofErr w:type="gramStart"/>
      <w:r w:rsidRPr="00C779CC">
        <w:rPr>
          <w:bCs/>
          <w:iCs/>
        </w:rPr>
        <w:t>la</w:t>
      </w:r>
      <w:proofErr w:type="gramEnd"/>
      <w:r w:rsidRPr="00C779CC">
        <w:rPr>
          <w:bCs/>
          <w:iCs/>
        </w:rPr>
        <w:t xml:space="preserve"> palma por ca</w:t>
      </w:r>
      <w:r>
        <w:rPr>
          <w:bCs/>
          <w:iCs/>
        </w:rPr>
        <w:t>s</w:t>
      </w:r>
      <w:r w:rsidRPr="00C779CC">
        <w:rPr>
          <w:bCs/>
          <w:iCs/>
        </w:rPr>
        <w:t>tidad</w:t>
      </w:r>
    </w:p>
    <w:p w:rsidR="00C779CC" w:rsidRPr="00C779CC" w:rsidRDefault="00C779CC" w:rsidP="0067602E">
      <w:pPr>
        <w:tabs>
          <w:tab w:val="left" w:pos="1450"/>
        </w:tabs>
        <w:spacing w:line="240" w:lineRule="auto"/>
        <w:rPr>
          <w:bCs/>
          <w:iCs/>
        </w:rPr>
      </w:pPr>
      <w:proofErr w:type="gramStart"/>
      <w:r w:rsidRPr="00C779CC">
        <w:rPr>
          <w:bCs/>
          <w:iCs/>
        </w:rPr>
        <w:t>por</w:t>
      </w:r>
      <w:proofErr w:type="gramEnd"/>
      <w:r w:rsidRPr="00C779CC">
        <w:rPr>
          <w:bCs/>
          <w:iCs/>
        </w:rPr>
        <w:t xml:space="preserve"> </w:t>
      </w:r>
      <w:proofErr w:type="spellStart"/>
      <w:r w:rsidRPr="00C779CC">
        <w:rPr>
          <w:bCs/>
          <w:iCs/>
        </w:rPr>
        <w:t>quen</w:t>
      </w:r>
      <w:proofErr w:type="spellEnd"/>
      <w:r w:rsidRPr="00C779CC">
        <w:rPr>
          <w:bCs/>
          <w:iCs/>
        </w:rPr>
        <w:t xml:space="preserve"> vos </w:t>
      </w:r>
      <w:r>
        <w:rPr>
          <w:bCs/>
          <w:iCs/>
        </w:rPr>
        <w:t>s</w:t>
      </w:r>
      <w:r w:rsidRPr="00C779CC">
        <w:rPr>
          <w:bCs/>
          <w:iCs/>
        </w:rPr>
        <w:t xml:space="preserve">ola </w:t>
      </w:r>
      <w:r>
        <w:rPr>
          <w:bCs/>
          <w:iCs/>
        </w:rPr>
        <w:t>s</w:t>
      </w:r>
      <w:r w:rsidRPr="00C779CC">
        <w:rPr>
          <w:bCs/>
          <w:iCs/>
        </w:rPr>
        <w:t>e</w:t>
      </w:r>
      <w:r>
        <w:rPr>
          <w:bCs/>
          <w:iCs/>
        </w:rPr>
        <w:t>s</w:t>
      </w:r>
      <w:r w:rsidRPr="00C779CC">
        <w:rPr>
          <w:bCs/>
          <w:iCs/>
        </w:rPr>
        <w:t>mera</w:t>
      </w:r>
    </w:p>
    <w:p w:rsidR="00C779CC" w:rsidRPr="00C779CC" w:rsidRDefault="00C779CC" w:rsidP="0067602E">
      <w:pPr>
        <w:tabs>
          <w:tab w:val="left" w:pos="1450"/>
        </w:tabs>
        <w:spacing w:line="240" w:lineRule="auto"/>
        <w:rPr>
          <w:bCs/>
          <w:iCs/>
        </w:rPr>
      </w:pPr>
      <w:r w:rsidRPr="00C779CC">
        <w:rPr>
          <w:bCs/>
          <w:iCs/>
        </w:rPr>
        <w:t xml:space="preserve">Y </w:t>
      </w:r>
      <w:proofErr w:type="spellStart"/>
      <w:r w:rsidRPr="00C779CC">
        <w:rPr>
          <w:bCs/>
          <w:iCs/>
        </w:rPr>
        <w:t>vn</w:t>
      </w:r>
      <w:proofErr w:type="spellEnd"/>
      <w:r w:rsidRPr="00C779CC">
        <w:rPr>
          <w:bCs/>
          <w:iCs/>
        </w:rPr>
        <w:t xml:space="preserve"> </w:t>
      </w:r>
      <w:proofErr w:type="spellStart"/>
      <w:r w:rsidRPr="00C779CC">
        <w:rPr>
          <w:bCs/>
          <w:iCs/>
        </w:rPr>
        <w:t>fenix</w:t>
      </w:r>
      <w:proofErr w:type="spellEnd"/>
      <w:r w:rsidRPr="00C779CC">
        <w:rPr>
          <w:bCs/>
          <w:iCs/>
        </w:rPr>
        <w:t xml:space="preserve"> que </w:t>
      </w:r>
      <w:r>
        <w:rPr>
          <w:bCs/>
          <w:iCs/>
        </w:rPr>
        <w:t>s</w:t>
      </w:r>
      <w:r w:rsidRPr="00C779CC">
        <w:rPr>
          <w:bCs/>
          <w:iCs/>
        </w:rPr>
        <w:t>olo fue</w:t>
      </w:r>
    </w:p>
    <w:p w:rsidR="00A5009C" w:rsidRDefault="00C779CC" w:rsidP="0067602E">
      <w:pPr>
        <w:tabs>
          <w:tab w:val="left" w:pos="1450"/>
        </w:tabs>
        <w:spacing w:line="240" w:lineRule="auto"/>
        <w:rPr>
          <w:bCs/>
          <w:iCs/>
        </w:rPr>
      </w:pPr>
      <w:proofErr w:type="gramStart"/>
      <w:r w:rsidRPr="00C779CC">
        <w:rPr>
          <w:bCs/>
          <w:iCs/>
        </w:rPr>
        <w:t>como</w:t>
      </w:r>
      <w:proofErr w:type="gramEnd"/>
      <w:r w:rsidRPr="00C779CC">
        <w:rPr>
          <w:bCs/>
          <w:iCs/>
        </w:rPr>
        <w:t xml:space="preserve"> vue</w:t>
      </w:r>
      <w:r>
        <w:rPr>
          <w:bCs/>
          <w:iCs/>
        </w:rPr>
        <w:t>s</w:t>
      </w:r>
      <w:r w:rsidRPr="00C779CC">
        <w:rPr>
          <w:bCs/>
          <w:iCs/>
        </w:rPr>
        <w:t>tra alteza en todo</w:t>
      </w:r>
    </w:p>
    <w:p w:rsidR="00934146" w:rsidRDefault="00934146" w:rsidP="0067602E">
      <w:pPr>
        <w:tabs>
          <w:tab w:val="left" w:pos="1450"/>
        </w:tabs>
        <w:spacing w:line="240" w:lineRule="auto"/>
        <w:rPr>
          <w:bCs/>
          <w:iCs/>
        </w:rPr>
      </w:pPr>
    </w:p>
    <w:p w:rsidR="00934146" w:rsidRDefault="00264843" w:rsidP="001F066E">
      <w:pPr>
        <w:tabs>
          <w:tab w:val="left" w:pos="1450"/>
        </w:tabs>
        <w:rPr>
          <w:bCs/>
          <w:iCs/>
        </w:rPr>
      </w:pPr>
      <w:r>
        <w:rPr>
          <w:bCs/>
          <w:iCs/>
        </w:rPr>
        <w:tab/>
      </w:r>
      <w:r w:rsidR="00934146">
        <w:rPr>
          <w:bCs/>
          <w:iCs/>
        </w:rPr>
        <w:t>Nuevamente, Isabel es única</w:t>
      </w:r>
      <w:r w:rsidR="009E5C17">
        <w:rPr>
          <w:bCs/>
          <w:iCs/>
        </w:rPr>
        <w:t xml:space="preserve"> en todo, pero lo que se pone de manifiesto a través de la mención de la palma, es la castidad como virtud relevante, subrayada por </w:t>
      </w:r>
      <w:r w:rsidR="008368F8">
        <w:rPr>
          <w:bCs/>
          <w:iCs/>
        </w:rPr>
        <w:t>la repetición sola/solo</w:t>
      </w:r>
      <w:r w:rsidR="00262959">
        <w:rPr>
          <w:bCs/>
          <w:iCs/>
        </w:rPr>
        <w:t xml:space="preserve"> en el cuarto y quinto verso</w:t>
      </w:r>
      <w:r w:rsidR="00913F77">
        <w:rPr>
          <w:rStyle w:val="Refdenotaalpie"/>
          <w:bCs/>
          <w:iCs/>
        </w:rPr>
        <w:footnoteReference w:id="7"/>
      </w:r>
      <w:r w:rsidR="00913F77">
        <w:rPr>
          <w:bCs/>
          <w:iCs/>
        </w:rPr>
        <w:t>.</w:t>
      </w:r>
    </w:p>
    <w:p w:rsidR="0029177A" w:rsidRDefault="0029177A" w:rsidP="00D401EC">
      <w:pPr>
        <w:tabs>
          <w:tab w:val="left" w:pos="1450"/>
        </w:tabs>
        <w:rPr>
          <w:bCs/>
        </w:rPr>
      </w:pPr>
      <w:r w:rsidRPr="0023330C">
        <w:rPr>
          <w:bCs/>
        </w:rPr>
        <w:t xml:space="preserve">A la muerte de la reina, el 26 de noviembre de 1504, </w:t>
      </w:r>
      <w:proofErr w:type="spellStart"/>
      <w:r w:rsidRPr="0023330C">
        <w:rPr>
          <w:bCs/>
        </w:rPr>
        <w:t>Crespí</w:t>
      </w:r>
      <w:proofErr w:type="spellEnd"/>
      <w:r w:rsidRPr="0023330C">
        <w:rPr>
          <w:bCs/>
        </w:rPr>
        <w:t xml:space="preserve"> de </w:t>
      </w:r>
      <w:proofErr w:type="spellStart"/>
      <w:r w:rsidRPr="0023330C">
        <w:rPr>
          <w:bCs/>
        </w:rPr>
        <w:t>Valdaura</w:t>
      </w:r>
      <w:proofErr w:type="spellEnd"/>
      <w:r w:rsidRPr="0023330C">
        <w:rPr>
          <w:bCs/>
        </w:rPr>
        <w:t xml:space="preserve"> y Miquel Trilles escriben un panegírico, y repiten la imagen de </w:t>
      </w:r>
      <w:r w:rsidR="0067602E">
        <w:rPr>
          <w:bCs/>
        </w:rPr>
        <w:t xml:space="preserve">Pinar y </w:t>
      </w:r>
      <w:proofErr w:type="spellStart"/>
      <w:r w:rsidRPr="0023330C">
        <w:rPr>
          <w:bCs/>
        </w:rPr>
        <w:t>Marcuello</w:t>
      </w:r>
      <w:proofErr w:type="spellEnd"/>
      <w:r w:rsidRPr="0023330C">
        <w:rPr>
          <w:bCs/>
        </w:rPr>
        <w:t xml:space="preserve">.  </w:t>
      </w:r>
      <w:r>
        <w:rPr>
          <w:bCs/>
        </w:rPr>
        <w:t xml:space="preserve">Se </w:t>
      </w:r>
      <w:r>
        <w:rPr>
          <w:bCs/>
        </w:rPr>
        <w:lastRenderedPageBreak/>
        <w:t>refieren a Isabel como “</w:t>
      </w:r>
      <w:r w:rsidRPr="00237CC9">
        <w:rPr>
          <w:bCs/>
        </w:rPr>
        <w:t xml:space="preserve">de todas las </w:t>
      </w:r>
      <w:proofErr w:type="spellStart"/>
      <w:r w:rsidRPr="00237CC9">
        <w:rPr>
          <w:bCs/>
        </w:rPr>
        <w:t>reynas</w:t>
      </w:r>
      <w:proofErr w:type="spellEnd"/>
      <w:r w:rsidRPr="00237CC9">
        <w:rPr>
          <w:bCs/>
        </w:rPr>
        <w:t xml:space="preserve"> el </w:t>
      </w:r>
      <w:r>
        <w:rPr>
          <w:bCs/>
        </w:rPr>
        <w:t>fénix” e incluso “</w:t>
      </w:r>
      <w:r w:rsidRPr="00237CC9">
        <w:rPr>
          <w:bCs/>
        </w:rPr>
        <w:t xml:space="preserve">tan alta </w:t>
      </w:r>
      <w:proofErr w:type="spellStart"/>
      <w:r w:rsidRPr="00237CC9">
        <w:rPr>
          <w:bCs/>
        </w:rPr>
        <w:t>despues</w:t>
      </w:r>
      <w:proofErr w:type="spellEnd"/>
      <w:r w:rsidRPr="00237CC9">
        <w:rPr>
          <w:bCs/>
        </w:rPr>
        <w:t xml:space="preserve"> de la virgen</w:t>
      </w:r>
      <w:r>
        <w:rPr>
          <w:bCs/>
        </w:rPr>
        <w:t xml:space="preserve"> / </w:t>
      </w:r>
      <w:r w:rsidRPr="00237CC9">
        <w:rPr>
          <w:bCs/>
        </w:rPr>
        <w:t>y santas benditas</w:t>
      </w:r>
      <w:r>
        <w:rPr>
          <w:bCs/>
        </w:rPr>
        <w:t xml:space="preserve">” </w:t>
      </w:r>
      <w:r w:rsidRPr="0023330C">
        <w:rPr>
          <w:bCs/>
        </w:rPr>
        <w:t>(</w:t>
      </w:r>
      <w:proofErr w:type="spellStart"/>
      <w:proofErr w:type="gramStart"/>
      <w:r w:rsidRPr="0023330C">
        <w:rPr>
          <w:bCs/>
        </w:rPr>
        <w:t>Dutton</w:t>
      </w:r>
      <w:proofErr w:type="spellEnd"/>
      <w:r w:rsidRPr="0023330C">
        <w:rPr>
          <w:bCs/>
        </w:rPr>
        <w:t>[</w:t>
      </w:r>
      <w:proofErr w:type="gramEnd"/>
      <w:r w:rsidRPr="0023330C">
        <w:rPr>
          <w:bCs/>
        </w:rPr>
        <w:t>ID6690]11CG-916)</w:t>
      </w:r>
    </w:p>
    <w:p w:rsidR="0029177A" w:rsidRPr="0023330C" w:rsidRDefault="00264843" w:rsidP="0051048A">
      <w:pPr>
        <w:tabs>
          <w:tab w:val="left" w:pos="1450"/>
        </w:tabs>
        <w:rPr>
          <w:bCs/>
        </w:rPr>
      </w:pPr>
      <w:r>
        <w:rPr>
          <w:bCs/>
        </w:rPr>
        <w:tab/>
      </w:r>
      <w:r w:rsidR="0029177A">
        <w:rPr>
          <w:bCs/>
        </w:rPr>
        <w:t>E</w:t>
      </w:r>
      <w:r w:rsidR="0029177A" w:rsidRPr="0023330C">
        <w:rPr>
          <w:bCs/>
        </w:rPr>
        <w:t xml:space="preserve">l motivo se repite en </w:t>
      </w:r>
      <w:r w:rsidR="0029177A">
        <w:rPr>
          <w:bCs/>
        </w:rPr>
        <w:t>las restantes</w:t>
      </w:r>
      <w:r w:rsidR="0029177A" w:rsidRPr="0023330C">
        <w:rPr>
          <w:bCs/>
        </w:rPr>
        <w:t xml:space="preserve"> estrofas, y ya no solo Isabel es</w:t>
      </w:r>
      <w:r w:rsidR="0029177A">
        <w:rPr>
          <w:bCs/>
        </w:rPr>
        <w:t xml:space="preserve"> </w:t>
      </w:r>
      <w:r w:rsidR="0029177A" w:rsidRPr="002A3700">
        <w:rPr>
          <w:bCs/>
        </w:rPr>
        <w:t>el fénix</w:t>
      </w:r>
      <w:r w:rsidR="0029177A" w:rsidRPr="0023330C">
        <w:rPr>
          <w:bCs/>
        </w:rPr>
        <w:t xml:space="preserve"> entre las reinas,  sino incluso entre las santas,</w:t>
      </w:r>
      <w:r w:rsidR="0029177A">
        <w:rPr>
          <w:bCs/>
        </w:rPr>
        <w:t xml:space="preserve">  su gloria es inmortal y sus virtudes tan grandes que puede mirar a la Virgen.</w:t>
      </w:r>
    </w:p>
    <w:p w:rsidR="0029177A" w:rsidRDefault="00264843" w:rsidP="00D401EC">
      <w:pPr>
        <w:tabs>
          <w:tab w:val="left" w:pos="1450"/>
        </w:tabs>
        <w:rPr>
          <w:bCs/>
        </w:rPr>
      </w:pPr>
      <w:r>
        <w:rPr>
          <w:bCs/>
        </w:rPr>
        <w:tab/>
      </w:r>
      <w:r w:rsidR="0029177A">
        <w:rPr>
          <w:bCs/>
        </w:rPr>
        <w:t xml:space="preserve">Otra Isabel, la de Inglaterra, fue identificada con el fénix. El mismo </w:t>
      </w:r>
      <w:proofErr w:type="spellStart"/>
      <w:r w:rsidR="0029177A">
        <w:rPr>
          <w:bCs/>
        </w:rPr>
        <w:t>Nichollas</w:t>
      </w:r>
      <w:proofErr w:type="spellEnd"/>
      <w:r w:rsidR="0029177A">
        <w:rPr>
          <w:bCs/>
        </w:rPr>
        <w:t xml:space="preserve"> </w:t>
      </w:r>
      <w:proofErr w:type="spellStart"/>
      <w:r w:rsidR="0029177A">
        <w:rPr>
          <w:bCs/>
        </w:rPr>
        <w:t>Hillard</w:t>
      </w:r>
      <w:proofErr w:type="spellEnd"/>
      <w:r w:rsidR="0029177A">
        <w:rPr>
          <w:bCs/>
        </w:rPr>
        <w:t xml:space="preserve"> que realizó el </w:t>
      </w:r>
      <w:proofErr w:type="spellStart"/>
      <w:r w:rsidR="0029177A" w:rsidRPr="00B271A4">
        <w:rPr>
          <w:bCs/>
          <w:i/>
        </w:rPr>
        <w:t>Pelican</w:t>
      </w:r>
      <w:proofErr w:type="spellEnd"/>
      <w:r w:rsidR="0029177A" w:rsidRPr="00B271A4">
        <w:rPr>
          <w:bCs/>
          <w:i/>
        </w:rPr>
        <w:t xml:space="preserve"> </w:t>
      </w:r>
      <w:proofErr w:type="spellStart"/>
      <w:r w:rsidR="0029177A" w:rsidRPr="00B271A4">
        <w:rPr>
          <w:bCs/>
          <w:i/>
        </w:rPr>
        <w:t>Portrait</w:t>
      </w:r>
      <w:proofErr w:type="spellEnd"/>
      <w:r w:rsidR="0029177A">
        <w:rPr>
          <w:bCs/>
        </w:rPr>
        <w:t xml:space="preserve">, ya mencionado, pintó a la reina con un colgante en forma de fénix, que se ajusta bastante a la descripción que realizan de él Heródoto y Plinio, tanto en la forma, semejante a un águila con un copete en la cabeza,  como en los colores del plumaje, rojo y dorado. Aquí la intención no es solo resaltar la excepcionalidad de Isabel, sino su virginidad, su condición de soltera, y el renacimiento de la dinastía Tudor, después de los breves reinados de sus hermanos Eduardo VI y María I. </w:t>
      </w:r>
    </w:p>
    <w:p w:rsidR="0029177A" w:rsidRPr="00264843" w:rsidRDefault="0029177A" w:rsidP="00D401EC">
      <w:pPr>
        <w:rPr>
          <w:b/>
          <w:bCs/>
          <w:lang w:val="es-ES"/>
        </w:rPr>
      </w:pPr>
      <w:r w:rsidRPr="00264843">
        <w:rPr>
          <w:b/>
          <w:bCs/>
          <w:lang w:val="es-ES"/>
        </w:rPr>
        <w:t>Conclusiones</w:t>
      </w:r>
    </w:p>
    <w:p w:rsidR="0029177A" w:rsidRDefault="0029177A" w:rsidP="00264843">
      <w:pPr>
        <w:ind w:firstLine="708"/>
        <w:contextualSpacing/>
        <w:rPr>
          <w:iCs/>
        </w:rPr>
      </w:pPr>
      <w:r w:rsidRPr="00D705E1">
        <w:rPr>
          <w:iCs/>
        </w:rPr>
        <w:t>Como v</w:t>
      </w:r>
      <w:r>
        <w:rPr>
          <w:iCs/>
        </w:rPr>
        <w:t>imos en los ejemplos descriptos</w:t>
      </w:r>
      <w:r w:rsidRPr="00D705E1">
        <w:rPr>
          <w:iCs/>
        </w:rPr>
        <w:t xml:space="preserve">, </w:t>
      </w:r>
      <w:r>
        <w:rPr>
          <w:iCs/>
        </w:rPr>
        <w:t>cuando se i</w:t>
      </w:r>
      <w:r w:rsidRPr="00D705E1">
        <w:rPr>
          <w:iCs/>
        </w:rPr>
        <w:t>dentifica</w:t>
      </w:r>
      <w:r>
        <w:rPr>
          <w:iCs/>
        </w:rPr>
        <w:t>n</w:t>
      </w:r>
      <w:r w:rsidRPr="00D705E1">
        <w:rPr>
          <w:iCs/>
        </w:rPr>
        <w:t xml:space="preserve"> pelícano y rey, lo que se pone de relieve </w:t>
      </w:r>
      <w:r>
        <w:rPr>
          <w:iCs/>
        </w:rPr>
        <w:t xml:space="preserve">del mito </w:t>
      </w:r>
      <w:r w:rsidRPr="00D705E1">
        <w:rPr>
          <w:iCs/>
        </w:rPr>
        <w:t xml:space="preserve">es el padre o madre amante de sus hijos, que es capaz hasta de dar su sangre, incluso su vida,  por ellos. </w:t>
      </w:r>
      <w:r>
        <w:rPr>
          <w:iCs/>
        </w:rPr>
        <w:t xml:space="preserve">Corresponde a la imagen del </w:t>
      </w:r>
      <w:proofErr w:type="spellStart"/>
      <w:r w:rsidRPr="007F2115">
        <w:rPr>
          <w:i/>
          <w:iCs/>
        </w:rPr>
        <w:t>principatus</w:t>
      </w:r>
      <w:proofErr w:type="spellEnd"/>
      <w:r w:rsidRPr="007F2115">
        <w:rPr>
          <w:i/>
          <w:iCs/>
        </w:rPr>
        <w:t xml:space="preserve"> </w:t>
      </w:r>
      <w:proofErr w:type="spellStart"/>
      <w:r w:rsidRPr="007F2115">
        <w:rPr>
          <w:i/>
          <w:iCs/>
        </w:rPr>
        <w:t>regiu</w:t>
      </w:r>
      <w:r>
        <w:rPr>
          <w:i/>
          <w:iCs/>
        </w:rPr>
        <w:t>s</w:t>
      </w:r>
      <w:proofErr w:type="spellEnd"/>
      <w:r>
        <w:rPr>
          <w:iCs/>
        </w:rPr>
        <w:t xml:space="preserve">, el rey que gobierna como un padre sobre sus hijos. Lo que no se debe olvidar </w:t>
      </w:r>
      <w:r w:rsidRPr="00D705E1">
        <w:rPr>
          <w:iCs/>
        </w:rPr>
        <w:t xml:space="preserve">es que previo al momento de la piedad del pelícano, está el de la ira  desencadenada por la violencia de los hijos que golpean a sus padres,  que es castigada con la muerte. En el </w:t>
      </w:r>
      <w:r w:rsidRPr="00D705E1">
        <w:rPr>
          <w:i/>
          <w:iCs/>
        </w:rPr>
        <w:t>Fisiólogo</w:t>
      </w:r>
      <w:r w:rsidRPr="00D705E1">
        <w:rPr>
          <w:iCs/>
        </w:rPr>
        <w:t xml:space="preserve"> leemos a continuación del relato sobre el ave: “Así también nuestro Señor dice por medio de Isaías: Engendré hijos y los exalté, pero ellos me faltaron al respeto”.  Es decir, se formula elípticamente una advertencia acerca de los rie</w:t>
      </w:r>
      <w:r>
        <w:rPr>
          <w:iCs/>
        </w:rPr>
        <w:t>sgos de desafiar al poder regio</w:t>
      </w:r>
      <w:r w:rsidRPr="00D705E1">
        <w:rPr>
          <w:iCs/>
        </w:rPr>
        <w:t>. Es de destacar que el símil con el pelícano se aplicara</w:t>
      </w:r>
      <w:r>
        <w:rPr>
          <w:iCs/>
        </w:rPr>
        <w:t xml:space="preserve"> a dos reyes que sentaron los  </w:t>
      </w:r>
      <w:r w:rsidRPr="00D705E1">
        <w:rPr>
          <w:iCs/>
        </w:rPr>
        <w:t xml:space="preserve">precedentes del absolutismo monárquico, como Juan II de Portugal, llamado el Tirano, y Fernando el Católico. En el caso portugués, </w:t>
      </w:r>
      <w:r>
        <w:rPr>
          <w:iCs/>
        </w:rPr>
        <w:t xml:space="preserve">es sabido lo expeditivo que fue </w:t>
      </w:r>
      <w:r w:rsidRPr="00D705E1">
        <w:rPr>
          <w:iCs/>
        </w:rPr>
        <w:t xml:space="preserve">el </w:t>
      </w:r>
      <w:r>
        <w:rPr>
          <w:iCs/>
        </w:rPr>
        <w:t>rey con los nobles sospechados de traición</w:t>
      </w:r>
      <w:r>
        <w:rPr>
          <w:rStyle w:val="Refdenotaalpie"/>
          <w:iCs/>
        </w:rPr>
        <w:footnoteReference w:id="8"/>
      </w:r>
      <w:r>
        <w:rPr>
          <w:iCs/>
        </w:rPr>
        <w:t xml:space="preserve">. </w:t>
      </w:r>
      <w:r w:rsidRPr="00D705E1">
        <w:rPr>
          <w:iCs/>
        </w:rPr>
        <w:t xml:space="preserve"> </w:t>
      </w:r>
      <w:r w:rsidRPr="00D705E1">
        <w:rPr>
          <w:i/>
          <w:iCs/>
        </w:rPr>
        <w:t xml:space="preserve">Por </w:t>
      </w:r>
      <w:proofErr w:type="spellStart"/>
      <w:r w:rsidRPr="00D705E1">
        <w:rPr>
          <w:i/>
          <w:iCs/>
        </w:rPr>
        <w:t>tua</w:t>
      </w:r>
      <w:proofErr w:type="spellEnd"/>
      <w:r w:rsidRPr="00D705E1">
        <w:rPr>
          <w:i/>
          <w:iCs/>
        </w:rPr>
        <w:t xml:space="preserve"> ley e </w:t>
      </w:r>
      <w:r w:rsidRPr="00D705E1">
        <w:rPr>
          <w:i/>
          <w:iCs/>
        </w:rPr>
        <w:lastRenderedPageBreak/>
        <w:t xml:space="preserve">por </w:t>
      </w:r>
      <w:proofErr w:type="spellStart"/>
      <w:r w:rsidRPr="00D705E1">
        <w:rPr>
          <w:i/>
          <w:iCs/>
        </w:rPr>
        <w:t>tua</w:t>
      </w:r>
      <w:proofErr w:type="spellEnd"/>
      <w:r w:rsidRPr="00D705E1">
        <w:rPr>
          <w:i/>
          <w:iCs/>
        </w:rPr>
        <w:t xml:space="preserve"> grey</w:t>
      </w:r>
      <w:r w:rsidRPr="00D705E1">
        <w:rPr>
          <w:iCs/>
        </w:rPr>
        <w:t>,</w:t>
      </w:r>
      <w:r>
        <w:rPr>
          <w:iCs/>
        </w:rPr>
        <w:t xml:space="preserve">  </w:t>
      </w:r>
      <w:r w:rsidRPr="00D705E1">
        <w:rPr>
          <w:iCs/>
        </w:rPr>
        <w:t>el rey sacrifica su vida privada en función de su vida pública, pero la grey debe recordar la ley y  comportarse como hijos respetuosos.</w:t>
      </w:r>
      <w:r>
        <w:rPr>
          <w:iCs/>
        </w:rPr>
        <w:t xml:space="preserve"> Por otra parte, el lema admite dos interpretaciones que no se excluyen:</w:t>
      </w:r>
      <w:r w:rsidRPr="002D7F55">
        <w:rPr>
          <w:iCs/>
        </w:rPr>
        <w:t xml:space="preserve"> ley y grey pueden aludir tanto a la ley </w:t>
      </w:r>
      <w:r>
        <w:rPr>
          <w:iCs/>
        </w:rPr>
        <w:t>de Dios</w:t>
      </w:r>
      <w:r w:rsidRPr="002D7F55">
        <w:rPr>
          <w:iCs/>
        </w:rPr>
        <w:t xml:space="preserve"> y al conjunto de los fieles cristianos como a la ley y población del reino</w:t>
      </w:r>
      <w:r>
        <w:rPr>
          <w:iCs/>
        </w:rPr>
        <w:t xml:space="preserve">. Con lo cual se deja insinuada la dualidad del fundamento del poder real, tanto terrenal como divino. Si fuera cierta la existencia de la divisa de Alfonso X, sería perfectamente congruente con la representación del proyecto político que buscaba plasmar el Rey Sabio, asentado por un lado sobre el origen divino de la realeza, el rey como Vicario de Dios, tal como se expresa en la </w:t>
      </w:r>
      <w:r w:rsidRPr="00AA1E76">
        <w:rPr>
          <w:i/>
          <w:iCs/>
        </w:rPr>
        <w:t>Segunda Partida</w:t>
      </w:r>
      <w:r>
        <w:rPr>
          <w:iCs/>
        </w:rPr>
        <w:t>, y por otro, sobre la concentración de las potestades de legislar, juzgar y administrar en la persona real, ejercicio legitimado por ese origen divino. El desarrollo de esta idea en los siguientes siglos conduciría al absolutismo monárquico (</w:t>
      </w:r>
      <w:r w:rsidRPr="00066E63">
        <w:rPr>
          <w:iCs/>
          <w:lang w:val="es-ES"/>
        </w:rPr>
        <w:t>García de Cortázar</w:t>
      </w:r>
      <w:r>
        <w:rPr>
          <w:iCs/>
          <w:lang w:val="es-ES"/>
        </w:rPr>
        <w:t>, 2014, 12)</w:t>
      </w:r>
      <w:r>
        <w:rPr>
          <w:rStyle w:val="Refdenotaalpie"/>
          <w:iCs/>
        </w:rPr>
        <w:footnoteReference w:id="9"/>
      </w:r>
      <w:r>
        <w:rPr>
          <w:iCs/>
        </w:rPr>
        <w:t xml:space="preserve">, </w:t>
      </w:r>
      <w:r w:rsidRPr="00211108">
        <w:rPr>
          <w:iCs/>
        </w:rPr>
        <w:t>cuyos precursores fueron, como hemos dicho, sus descendientes Juan y Fernando</w:t>
      </w:r>
      <w:r>
        <w:rPr>
          <w:iCs/>
        </w:rPr>
        <w:t xml:space="preserve">. Con respecto a este último, es </w:t>
      </w:r>
      <w:proofErr w:type="spellStart"/>
      <w:r w:rsidRPr="00D705E1">
        <w:rPr>
          <w:iCs/>
        </w:rPr>
        <w:t>Marcuello</w:t>
      </w:r>
      <w:proofErr w:type="spellEnd"/>
      <w:r>
        <w:rPr>
          <w:iCs/>
        </w:rPr>
        <w:t>, aragonés como él,</w:t>
      </w:r>
      <w:r w:rsidRPr="00D705E1">
        <w:rPr>
          <w:iCs/>
        </w:rPr>
        <w:t xml:space="preserve"> </w:t>
      </w:r>
      <w:r>
        <w:rPr>
          <w:iCs/>
        </w:rPr>
        <w:t xml:space="preserve">quien </w:t>
      </w:r>
      <w:r w:rsidRPr="00D705E1">
        <w:rPr>
          <w:iCs/>
        </w:rPr>
        <w:t xml:space="preserve">le adjudica </w:t>
      </w:r>
      <w:r>
        <w:rPr>
          <w:iCs/>
        </w:rPr>
        <w:t xml:space="preserve">la figura del </w:t>
      </w:r>
      <w:r w:rsidRPr="00D705E1">
        <w:rPr>
          <w:iCs/>
        </w:rPr>
        <w:t>pelícano,</w:t>
      </w:r>
      <w:r>
        <w:rPr>
          <w:iCs/>
        </w:rPr>
        <w:t xml:space="preserve"> en una obra de innegables propósitos propagandísticos, en un contexto histórico no solo signado por la guerra contra los moros, sino con la consolidación de la posición del esposo de Isabel como rey de Castilla. Convenía, entonces, el símbolo del pelícano para recordar tanto la magnanimidad como la ira regias</w:t>
      </w:r>
      <w:r w:rsidRPr="006577D6">
        <w:rPr>
          <w:iCs/>
        </w:rPr>
        <w:t xml:space="preserve"> </w:t>
      </w:r>
      <w:r>
        <w:rPr>
          <w:iCs/>
        </w:rPr>
        <w:t>a</w:t>
      </w:r>
      <w:r w:rsidRPr="006577D6">
        <w:rPr>
          <w:iCs/>
        </w:rPr>
        <w:t xml:space="preserve"> la </w:t>
      </w:r>
      <w:r>
        <w:rPr>
          <w:iCs/>
        </w:rPr>
        <w:t xml:space="preserve">recelosa </w:t>
      </w:r>
      <w:r w:rsidRPr="006577D6">
        <w:rPr>
          <w:iCs/>
        </w:rPr>
        <w:t>nobleza castellana</w:t>
      </w:r>
      <w:r>
        <w:rPr>
          <w:iCs/>
        </w:rPr>
        <w:t xml:space="preserve">.  </w:t>
      </w:r>
      <w:r w:rsidRPr="009724BB">
        <w:rPr>
          <w:iCs/>
          <w:u w:val="single"/>
        </w:rPr>
        <w:t xml:space="preserve"> </w:t>
      </w:r>
    </w:p>
    <w:p w:rsidR="0029177A" w:rsidRDefault="0029177A" w:rsidP="00264843">
      <w:pPr>
        <w:ind w:firstLine="708"/>
        <w:rPr>
          <w:bCs/>
          <w:iCs/>
        </w:rPr>
      </w:pPr>
      <w:r>
        <w:rPr>
          <w:bCs/>
          <w:iCs/>
        </w:rPr>
        <w:t xml:space="preserve">En lo que respecta al </w:t>
      </w:r>
      <w:r w:rsidRPr="005A5090">
        <w:rPr>
          <w:bCs/>
          <w:iCs/>
        </w:rPr>
        <w:t>fénix</w:t>
      </w:r>
      <w:r>
        <w:rPr>
          <w:bCs/>
          <w:iCs/>
        </w:rPr>
        <w:t>, el ave</w:t>
      </w:r>
      <w:r w:rsidRPr="005A5090">
        <w:rPr>
          <w:bCs/>
          <w:iCs/>
        </w:rPr>
        <w:t xml:space="preserve"> aunaba excepcionalidad, inmortalidad, y castidad, elementos que se podían jugar en diferente medida de acuerdo a lo que se quería expresar. Por ejemplo, los rasgos de excepcionalidad y castidad</w:t>
      </w:r>
      <w:r>
        <w:rPr>
          <w:bCs/>
          <w:iCs/>
        </w:rPr>
        <w:t>, y tras su deceso, de inmortalidad,</w:t>
      </w:r>
      <w:r w:rsidRPr="005A5090">
        <w:rPr>
          <w:bCs/>
          <w:iCs/>
        </w:rPr>
        <w:t xml:space="preserve"> se adaptaban muy bien a la alabanza a Isabel</w:t>
      </w:r>
      <w:r>
        <w:rPr>
          <w:bCs/>
          <w:iCs/>
        </w:rPr>
        <w:t xml:space="preserve"> de Castilla</w:t>
      </w:r>
      <w:r w:rsidRPr="005A5090">
        <w:rPr>
          <w:bCs/>
          <w:iCs/>
        </w:rPr>
        <w:t xml:space="preserve">. </w:t>
      </w:r>
      <w:r>
        <w:rPr>
          <w:bCs/>
          <w:iCs/>
        </w:rPr>
        <w:t xml:space="preserve">Los mismos atributos justificaban la elección del fénix por Isabel de </w:t>
      </w:r>
      <w:r>
        <w:rPr>
          <w:bCs/>
          <w:iCs/>
        </w:rPr>
        <w:lastRenderedPageBreak/>
        <w:t>Inglaterra como parte de los símbolos asociados a su figura, la inmortalidad, como hemos visto, vinculada al renacimiento de la casa Tudor. Es notable que dos reinas poderosas como lo fueron estas tuvieran especial cuidado en preservar su reputación de castas, en el caso de la española, la castidad de la mujer casada, que la llevaba incluso a dormir con sus hijas y doncellas en ausencia de su marido para evitar las habladurías</w:t>
      </w:r>
      <w:r w:rsidR="0099058C">
        <w:rPr>
          <w:bCs/>
          <w:iCs/>
        </w:rPr>
        <w:t xml:space="preserve"> </w:t>
      </w:r>
      <w:r w:rsidR="0099058C" w:rsidRPr="0099058C">
        <w:rPr>
          <w:bCs/>
          <w:iCs/>
        </w:rPr>
        <w:t>(Puyol, 2010, p. 262)</w:t>
      </w:r>
      <w:r>
        <w:rPr>
          <w:bCs/>
          <w:iCs/>
        </w:rPr>
        <w:t xml:space="preserve">, y en el caso de la inglesa, la virginidad de la mujer que decide no contraer matrimonio. La suma de las virtudes que justificaban la excepcionalidad, incluía, por supuesto,  también la castidad. </w:t>
      </w:r>
    </w:p>
    <w:p w:rsidR="006766EF" w:rsidRDefault="0029177A" w:rsidP="00264843">
      <w:pPr>
        <w:ind w:firstLine="708"/>
        <w:rPr>
          <w:bCs/>
          <w:iCs/>
          <w:lang w:val="es-ES"/>
        </w:rPr>
      </w:pPr>
      <w:r>
        <w:rPr>
          <w:bCs/>
          <w:iCs/>
        </w:rPr>
        <w:t xml:space="preserve">Ahora bien, hasta aquí hemos vistos qué aspectos de ambos mitos se destacan a los efectos del ensalzamiento de las figuras regias. Sin embargo, no hay que olvidar el original simbolismo religioso, que no deja de estar allí aunque no se lo evoque específicamente. El pelícanos y el fénix no dejan de ser símbolos </w:t>
      </w:r>
      <w:proofErr w:type="spellStart"/>
      <w:r>
        <w:rPr>
          <w:bCs/>
          <w:iCs/>
        </w:rPr>
        <w:t>crísticos</w:t>
      </w:r>
      <w:proofErr w:type="spellEnd"/>
      <w:r>
        <w:rPr>
          <w:bCs/>
          <w:iCs/>
        </w:rPr>
        <w:t xml:space="preserve">, asociados a la pasión, muerte y resurrección del Salvador, y en el caso del pelícano, aúna no solo la referencia al Hijo que redime, sino también a Dios Padre que castiga, como lo denota la cita de Isaías. Estos significados siguen estando presentes y permiten a los reyes, o a sus agentes de propaganda, conectar sus personas, cabezas del reino, con la cabeza de la Iglesia, Cristo. En el caso de los Reyes Católicos, en los cuales se centrará el resto de este estudio, esta conexión con la Iglesia tenía un matiz adicional, ya que eran los campeones de la cristiandad en la lucha contra los musulmanes de Granada, considerada un episodio dentro de la guerra para recuperar Jerusalén.  Eran particularmente devotos, especialmente Isabel, y una muestra de esto es la inclusión de los reyes en pinturas o esculturas de temas religiosos. Una de las más representativas es </w:t>
      </w:r>
      <w:r w:rsidRPr="006E69C5">
        <w:rPr>
          <w:bCs/>
          <w:i/>
          <w:iCs/>
        </w:rPr>
        <w:t>La Virgen de los Reyes Católicos</w:t>
      </w:r>
      <w:r>
        <w:rPr>
          <w:bCs/>
          <w:iCs/>
        </w:rPr>
        <w:t xml:space="preserve">, donde están representados Fernando e Isabel con sus hijos Juan e Isabel,  los cuatros arrodillados adorando a la Virgen y al Niño, pintados en el mismo tamaño que ellos, a diferencia de lo que ocurría habitualmente con los donantes, que se representaban en un tamaño menor. Otros ejemplos son </w:t>
      </w:r>
      <w:r w:rsidRPr="006E69C5">
        <w:rPr>
          <w:bCs/>
          <w:i/>
          <w:iCs/>
        </w:rPr>
        <w:t>La Virgen de la misericordia</w:t>
      </w:r>
      <w:r>
        <w:rPr>
          <w:bCs/>
          <w:iCs/>
        </w:rPr>
        <w:t>, bajo cuyo manto están retratados Isabel, Fernando con sus hijos Isabel, Juan y Juana, en posición de oración,  la</w:t>
      </w:r>
      <w:r w:rsidRPr="008C7A5A">
        <w:rPr>
          <w:bCs/>
          <w:iCs/>
          <w:lang w:val="es-ES"/>
        </w:rPr>
        <w:t xml:space="preserve"> </w:t>
      </w:r>
      <w:r w:rsidRPr="008C7A5A">
        <w:rPr>
          <w:bCs/>
          <w:i/>
          <w:iCs/>
          <w:lang w:val="es-ES"/>
        </w:rPr>
        <w:t>Piedad con los santos Juanes y los Reyes Católicos</w:t>
      </w:r>
      <w:r w:rsidRPr="008C7A5A">
        <w:rPr>
          <w:bCs/>
          <w:iCs/>
          <w:lang w:val="es-ES"/>
        </w:rPr>
        <w:t>, procedente de la iglesia de San Juan de los Reyes de Granada, antigua mezquita consagrada por los monarcas al culto católico</w:t>
      </w:r>
      <w:r>
        <w:rPr>
          <w:bCs/>
          <w:iCs/>
          <w:lang w:val="es-ES"/>
        </w:rPr>
        <w:t xml:space="preserve">, o </w:t>
      </w:r>
      <w:r w:rsidRPr="000B04C6">
        <w:rPr>
          <w:bCs/>
          <w:iCs/>
          <w:lang w:val="es-ES"/>
        </w:rPr>
        <w:t>las estatuas orantes de los Reyes Católicos a la Virgen en el Llanto por su Hijo muerto, presentes en la portada monumental de la fachada occidental de la iglesia monástica de Santa Cruz la Real de Segovia</w:t>
      </w:r>
      <w:r>
        <w:rPr>
          <w:bCs/>
          <w:iCs/>
          <w:lang w:val="es-ES"/>
        </w:rPr>
        <w:t xml:space="preserve"> (</w:t>
      </w:r>
      <w:proofErr w:type="spellStart"/>
      <w:r>
        <w:rPr>
          <w:bCs/>
          <w:iCs/>
          <w:lang w:val="es-ES"/>
        </w:rPr>
        <w:t>Morte</w:t>
      </w:r>
      <w:proofErr w:type="spellEnd"/>
      <w:r>
        <w:rPr>
          <w:bCs/>
          <w:iCs/>
          <w:lang w:val="es-ES"/>
        </w:rPr>
        <w:t xml:space="preserve"> </w:t>
      </w:r>
      <w:r>
        <w:rPr>
          <w:bCs/>
          <w:iCs/>
          <w:lang w:val="es-ES"/>
        </w:rPr>
        <w:lastRenderedPageBreak/>
        <w:t>García, 2014, 307-312)</w:t>
      </w:r>
      <w:r w:rsidRPr="00616A8C">
        <w:rPr>
          <w:bCs/>
          <w:i/>
          <w:iCs/>
          <w:lang w:val="es-ES"/>
        </w:rPr>
        <w:t>.</w:t>
      </w:r>
      <w:r>
        <w:rPr>
          <w:bCs/>
          <w:i/>
          <w:iCs/>
          <w:lang w:val="es-ES"/>
        </w:rPr>
        <w:t xml:space="preserve"> </w:t>
      </w:r>
      <w:r>
        <w:rPr>
          <w:bCs/>
          <w:iCs/>
          <w:lang w:val="es-ES"/>
        </w:rPr>
        <w:t xml:space="preserve">Sin embargo, cabe sospechar que no obedece simplemente a una expresión de fervor religioso. </w:t>
      </w:r>
      <w:proofErr w:type="spellStart"/>
      <w:r>
        <w:rPr>
          <w:bCs/>
          <w:iCs/>
          <w:lang w:val="es-ES"/>
        </w:rPr>
        <w:t>Podr</w:t>
      </w:r>
      <w:proofErr w:type="spellEnd"/>
      <w:r>
        <w:rPr>
          <w:bCs/>
          <w:iCs/>
        </w:rPr>
        <w:t>í</w:t>
      </w:r>
      <w:r>
        <w:rPr>
          <w:bCs/>
          <w:iCs/>
          <w:lang w:val="es-ES"/>
        </w:rPr>
        <w:t xml:space="preserve">amos decir, apoyándonos en los comentarios de </w:t>
      </w:r>
      <w:proofErr w:type="spellStart"/>
      <w:r>
        <w:rPr>
          <w:bCs/>
          <w:iCs/>
          <w:lang w:val="es-ES"/>
        </w:rPr>
        <w:t>Agamben</w:t>
      </w:r>
      <w:proofErr w:type="spellEnd"/>
      <w:r>
        <w:rPr>
          <w:bCs/>
          <w:iCs/>
          <w:lang w:val="es-ES"/>
        </w:rPr>
        <w:t xml:space="preserve"> al concepto de Foucault, que estos elementos son dispositivos, es decir, “</w:t>
      </w:r>
      <w:r w:rsidRPr="00AF47B2">
        <w:rPr>
          <w:bCs/>
          <w:iCs/>
          <w:lang w:val="es-ES"/>
        </w:rPr>
        <w:t>cualquier cosa que tenga de algún modo la capacidad de capturar,</w:t>
      </w:r>
      <w:r>
        <w:rPr>
          <w:bCs/>
          <w:iCs/>
          <w:lang w:val="es-ES"/>
        </w:rPr>
        <w:t xml:space="preserve"> </w:t>
      </w:r>
      <w:r w:rsidRPr="00AF47B2">
        <w:rPr>
          <w:bCs/>
          <w:iCs/>
          <w:lang w:val="es-ES"/>
        </w:rPr>
        <w:t>orientar, determinar, interceptar, modelar, controlar y asegurar los gestos, las conductas, las</w:t>
      </w:r>
      <w:r>
        <w:rPr>
          <w:bCs/>
          <w:iCs/>
          <w:lang w:val="es-ES"/>
        </w:rPr>
        <w:t xml:space="preserve"> </w:t>
      </w:r>
      <w:r w:rsidRPr="00AF47B2">
        <w:rPr>
          <w:bCs/>
          <w:iCs/>
          <w:lang w:val="es-ES"/>
        </w:rPr>
        <w:t>opiniones y los discursos de los seres vivos</w:t>
      </w:r>
      <w:r>
        <w:rPr>
          <w:bCs/>
          <w:iCs/>
          <w:lang w:val="es-ES"/>
        </w:rPr>
        <w:t>” (</w:t>
      </w:r>
      <w:proofErr w:type="spellStart"/>
      <w:r>
        <w:rPr>
          <w:bCs/>
          <w:iCs/>
          <w:lang w:val="es-ES"/>
        </w:rPr>
        <w:t>Agamben</w:t>
      </w:r>
      <w:proofErr w:type="spellEnd"/>
      <w:r>
        <w:rPr>
          <w:bCs/>
          <w:iCs/>
          <w:lang w:val="es-ES"/>
        </w:rPr>
        <w:t>, 2006, 6)</w:t>
      </w:r>
      <w:r>
        <w:rPr>
          <w:rStyle w:val="Refdenotaalpie"/>
          <w:bCs/>
          <w:iCs/>
          <w:lang w:val="es-ES"/>
        </w:rPr>
        <w:footnoteReference w:id="10"/>
      </w:r>
      <w:r w:rsidRPr="00AF47B2">
        <w:rPr>
          <w:bCs/>
          <w:iCs/>
          <w:lang w:val="es-ES"/>
        </w:rPr>
        <w:t>.</w:t>
      </w:r>
      <w:r w:rsidR="00AF47B2" w:rsidRPr="00AF47B2">
        <w:rPr>
          <w:bCs/>
          <w:iCs/>
          <w:lang w:val="es-ES"/>
        </w:rPr>
        <w:t xml:space="preserve"> </w:t>
      </w:r>
      <w:r w:rsidR="00114076">
        <w:rPr>
          <w:bCs/>
          <w:iCs/>
          <w:lang w:val="es-ES"/>
        </w:rPr>
        <w:t>En este mismo sentido, pueden considerarse</w:t>
      </w:r>
      <w:r w:rsidR="00726DF8">
        <w:rPr>
          <w:bCs/>
          <w:iCs/>
          <w:lang w:val="es-ES"/>
        </w:rPr>
        <w:t>, sin agotar</w:t>
      </w:r>
      <w:r w:rsidR="00462831">
        <w:rPr>
          <w:bCs/>
          <w:iCs/>
          <w:lang w:val="es-ES"/>
        </w:rPr>
        <w:t xml:space="preserve"> la enumeración,</w:t>
      </w:r>
      <w:r w:rsidR="00114076">
        <w:rPr>
          <w:bCs/>
          <w:iCs/>
          <w:lang w:val="es-ES"/>
        </w:rPr>
        <w:t xml:space="preserve"> las </w:t>
      </w:r>
      <w:r w:rsidR="00C60FD3">
        <w:rPr>
          <w:bCs/>
          <w:iCs/>
          <w:lang w:val="es-ES"/>
        </w:rPr>
        <w:t>vestiduras, joyas, coronas, cetros</w:t>
      </w:r>
      <w:r w:rsidR="00A25E4F">
        <w:rPr>
          <w:bCs/>
          <w:iCs/>
          <w:lang w:val="es-ES"/>
        </w:rPr>
        <w:t>, tronos, mobiliario,</w:t>
      </w:r>
      <w:r w:rsidR="00C60FD3">
        <w:rPr>
          <w:bCs/>
          <w:iCs/>
          <w:lang w:val="es-ES"/>
        </w:rPr>
        <w:t xml:space="preserve"> ceremonial</w:t>
      </w:r>
      <w:r w:rsidR="00A25E4F">
        <w:rPr>
          <w:bCs/>
          <w:iCs/>
          <w:lang w:val="es-ES"/>
        </w:rPr>
        <w:t>es</w:t>
      </w:r>
      <w:r w:rsidR="00C60FD3">
        <w:rPr>
          <w:bCs/>
          <w:iCs/>
          <w:lang w:val="es-ES"/>
        </w:rPr>
        <w:t xml:space="preserve">, las </w:t>
      </w:r>
      <w:r w:rsidR="00114076">
        <w:rPr>
          <w:bCs/>
          <w:iCs/>
          <w:lang w:val="es-ES"/>
        </w:rPr>
        <w:t>entradas a las ciudades,</w:t>
      </w:r>
      <w:r w:rsidR="005A157F">
        <w:rPr>
          <w:bCs/>
          <w:iCs/>
          <w:lang w:val="es-ES"/>
        </w:rPr>
        <w:t xml:space="preserve"> las imágenes en las monedas</w:t>
      </w:r>
      <w:r w:rsidR="00E138FA">
        <w:rPr>
          <w:bCs/>
          <w:iCs/>
          <w:lang w:val="es-ES"/>
        </w:rPr>
        <w:t xml:space="preserve">, pendones, heráldica, divisas y lemas, </w:t>
      </w:r>
      <w:r w:rsidR="00462831">
        <w:rPr>
          <w:bCs/>
          <w:iCs/>
          <w:lang w:val="es-ES"/>
        </w:rPr>
        <w:t>y, también, la literatura</w:t>
      </w:r>
      <w:r w:rsidR="00A25E4F">
        <w:rPr>
          <w:bCs/>
          <w:iCs/>
          <w:lang w:val="es-ES"/>
        </w:rPr>
        <w:t>, todos dispositivos</w:t>
      </w:r>
      <w:r w:rsidR="00513EA8">
        <w:rPr>
          <w:bCs/>
          <w:iCs/>
          <w:lang w:val="es-ES"/>
        </w:rPr>
        <w:t xml:space="preserve"> </w:t>
      </w:r>
      <w:r w:rsidR="00A25E4F" w:rsidRPr="00A25E4F">
        <w:rPr>
          <w:bCs/>
          <w:iCs/>
          <w:lang w:val="es-ES"/>
        </w:rPr>
        <w:t>destinado</w:t>
      </w:r>
      <w:r w:rsidR="00290070">
        <w:rPr>
          <w:bCs/>
          <w:iCs/>
          <w:lang w:val="es-ES"/>
        </w:rPr>
        <w:t>s</w:t>
      </w:r>
      <w:r w:rsidR="00A25E4F" w:rsidRPr="00A25E4F">
        <w:rPr>
          <w:bCs/>
          <w:iCs/>
          <w:lang w:val="es-ES"/>
        </w:rPr>
        <w:t xml:space="preserve"> a </w:t>
      </w:r>
      <w:r w:rsidR="00A25E4F">
        <w:rPr>
          <w:bCs/>
          <w:iCs/>
          <w:lang w:val="es-ES"/>
        </w:rPr>
        <w:t xml:space="preserve">fundar, representar, </w:t>
      </w:r>
      <w:r w:rsidR="00A25E4F" w:rsidRPr="00A25E4F">
        <w:rPr>
          <w:bCs/>
          <w:iCs/>
          <w:lang w:val="es-ES"/>
        </w:rPr>
        <w:t>afirmar y acrecentar el poder real</w:t>
      </w:r>
      <w:r w:rsidR="00290070">
        <w:rPr>
          <w:bCs/>
          <w:iCs/>
          <w:lang w:val="es-ES"/>
        </w:rPr>
        <w:t xml:space="preserve">. </w:t>
      </w:r>
    </w:p>
    <w:p w:rsidR="002A3700" w:rsidRDefault="00867E95" w:rsidP="00264843">
      <w:pPr>
        <w:ind w:firstLine="708"/>
        <w:rPr>
          <w:bCs/>
          <w:iCs/>
          <w:lang w:val="es-ES"/>
        </w:rPr>
      </w:pPr>
      <w:r>
        <w:rPr>
          <w:bCs/>
          <w:iCs/>
          <w:lang w:val="es-ES"/>
        </w:rPr>
        <w:t xml:space="preserve">Dentro de este </w:t>
      </w:r>
      <w:r w:rsidR="00290070">
        <w:rPr>
          <w:bCs/>
          <w:iCs/>
          <w:lang w:val="es-ES"/>
        </w:rPr>
        <w:t xml:space="preserve">conjunto, </w:t>
      </w:r>
      <w:r>
        <w:rPr>
          <w:bCs/>
          <w:iCs/>
          <w:lang w:val="es-ES"/>
        </w:rPr>
        <w:t>nos intere</w:t>
      </w:r>
      <w:r w:rsidR="00CA6559">
        <w:rPr>
          <w:bCs/>
          <w:iCs/>
          <w:lang w:val="es-ES"/>
        </w:rPr>
        <w:t xml:space="preserve">sa destacar la identificación o </w:t>
      </w:r>
      <w:r w:rsidR="00A00B56">
        <w:rPr>
          <w:bCs/>
          <w:iCs/>
          <w:lang w:val="es-ES"/>
        </w:rPr>
        <w:t>proximidad</w:t>
      </w:r>
      <w:r w:rsidR="00CA6559">
        <w:rPr>
          <w:bCs/>
          <w:iCs/>
          <w:lang w:val="es-ES"/>
        </w:rPr>
        <w:t xml:space="preserve"> de los Reyes </w:t>
      </w:r>
      <w:r w:rsidR="0058259C">
        <w:rPr>
          <w:bCs/>
          <w:iCs/>
          <w:lang w:val="es-ES"/>
        </w:rPr>
        <w:t xml:space="preserve">Católicos </w:t>
      </w:r>
      <w:r w:rsidR="00CA6559">
        <w:rPr>
          <w:bCs/>
          <w:iCs/>
          <w:lang w:val="es-ES"/>
        </w:rPr>
        <w:t>con símbolos o figuras cristianas, como hemos</w:t>
      </w:r>
      <w:r w:rsidR="0058259C">
        <w:rPr>
          <w:bCs/>
          <w:iCs/>
          <w:lang w:val="es-ES"/>
        </w:rPr>
        <w:t xml:space="preserve"> visto con re</w:t>
      </w:r>
      <w:r w:rsidR="00290070">
        <w:rPr>
          <w:bCs/>
          <w:iCs/>
          <w:lang w:val="es-ES"/>
        </w:rPr>
        <w:t>specto al fénix y el pelícano,</w:t>
      </w:r>
      <w:r w:rsidR="0058259C">
        <w:rPr>
          <w:bCs/>
          <w:iCs/>
          <w:lang w:val="es-ES"/>
        </w:rPr>
        <w:t xml:space="preserve"> las obras pictóricas y escultóricas mencionadas</w:t>
      </w:r>
      <w:r w:rsidR="00E077FF">
        <w:rPr>
          <w:bCs/>
          <w:iCs/>
          <w:lang w:val="es-ES"/>
        </w:rPr>
        <w:t>, y algunas ceremonias como la entrada de Isabel</w:t>
      </w:r>
      <w:r w:rsidR="00662DD4">
        <w:rPr>
          <w:bCs/>
          <w:iCs/>
          <w:lang w:val="es-ES"/>
        </w:rPr>
        <w:t xml:space="preserve"> a Sevilla en 1477, en la cual fue llevada a través de la ciudad como una Virgen en la procesión de Corpus Christi (</w:t>
      </w:r>
      <w:proofErr w:type="spellStart"/>
      <w:r w:rsidR="0023497C">
        <w:rPr>
          <w:bCs/>
          <w:iCs/>
          <w:lang w:val="es-ES"/>
        </w:rPr>
        <w:t>Bierzack</w:t>
      </w:r>
      <w:proofErr w:type="spellEnd"/>
      <w:r w:rsidR="0023497C">
        <w:rPr>
          <w:bCs/>
          <w:iCs/>
          <w:lang w:val="es-ES"/>
        </w:rPr>
        <w:t xml:space="preserve">, </w:t>
      </w:r>
      <w:r w:rsidR="00E70924">
        <w:rPr>
          <w:bCs/>
          <w:iCs/>
          <w:lang w:val="es-ES"/>
        </w:rPr>
        <w:t xml:space="preserve">2009, </w:t>
      </w:r>
      <w:r w:rsidR="0023497C">
        <w:rPr>
          <w:bCs/>
          <w:iCs/>
          <w:lang w:val="es-ES"/>
        </w:rPr>
        <w:t xml:space="preserve">39). </w:t>
      </w:r>
      <w:r w:rsidR="00B1467B">
        <w:rPr>
          <w:bCs/>
          <w:iCs/>
          <w:lang w:val="es-ES"/>
        </w:rPr>
        <w:t xml:space="preserve">Creemos que no son una simple </w:t>
      </w:r>
      <w:r w:rsidR="00DA7061">
        <w:rPr>
          <w:bCs/>
          <w:iCs/>
          <w:lang w:val="es-ES"/>
        </w:rPr>
        <w:t xml:space="preserve">reivindicación del </w:t>
      </w:r>
      <w:r w:rsidR="008B0E92">
        <w:rPr>
          <w:bCs/>
          <w:iCs/>
          <w:lang w:val="es-ES"/>
        </w:rPr>
        <w:t xml:space="preserve">carácter sagrado de la investidura real, </w:t>
      </w:r>
      <w:r w:rsidR="00EC4C8D">
        <w:rPr>
          <w:bCs/>
          <w:iCs/>
          <w:lang w:val="es-ES"/>
        </w:rPr>
        <w:t>sino</w:t>
      </w:r>
      <w:r w:rsidR="00245CC6">
        <w:rPr>
          <w:bCs/>
          <w:iCs/>
          <w:lang w:val="es-ES"/>
        </w:rPr>
        <w:t xml:space="preserve"> que </w:t>
      </w:r>
      <w:r w:rsidR="00EC4C8D">
        <w:rPr>
          <w:bCs/>
          <w:iCs/>
          <w:lang w:val="es-ES"/>
        </w:rPr>
        <w:t xml:space="preserve">también </w:t>
      </w:r>
      <w:r w:rsidR="00245CC6">
        <w:rPr>
          <w:bCs/>
          <w:iCs/>
          <w:lang w:val="es-ES"/>
        </w:rPr>
        <w:t xml:space="preserve">son una forma de </w:t>
      </w:r>
      <w:r w:rsidR="00A00A37">
        <w:rPr>
          <w:bCs/>
          <w:iCs/>
          <w:lang w:val="es-ES"/>
        </w:rPr>
        <w:t>homologar</w:t>
      </w:r>
      <w:r w:rsidR="00245CC6">
        <w:rPr>
          <w:bCs/>
          <w:iCs/>
          <w:lang w:val="es-ES"/>
        </w:rPr>
        <w:t xml:space="preserve"> e</w:t>
      </w:r>
      <w:r w:rsidR="00EC4C8D">
        <w:rPr>
          <w:bCs/>
          <w:iCs/>
          <w:lang w:val="es-ES"/>
        </w:rPr>
        <w:t>l</w:t>
      </w:r>
      <w:r w:rsidR="008B0E92">
        <w:rPr>
          <w:bCs/>
          <w:iCs/>
          <w:lang w:val="es-ES"/>
        </w:rPr>
        <w:t xml:space="preserve"> gobierno </w:t>
      </w:r>
      <w:r w:rsidR="006C7694">
        <w:rPr>
          <w:bCs/>
          <w:iCs/>
          <w:lang w:val="es-ES"/>
        </w:rPr>
        <w:t xml:space="preserve">humano </w:t>
      </w:r>
      <w:r w:rsidR="001F76AD">
        <w:rPr>
          <w:bCs/>
          <w:iCs/>
          <w:lang w:val="es-ES"/>
        </w:rPr>
        <w:t xml:space="preserve">con </w:t>
      </w:r>
      <w:r w:rsidR="006C7694">
        <w:rPr>
          <w:bCs/>
          <w:iCs/>
          <w:lang w:val="es-ES"/>
        </w:rPr>
        <w:t xml:space="preserve">el gobierno </w:t>
      </w:r>
      <w:r w:rsidR="008B0E92">
        <w:rPr>
          <w:bCs/>
          <w:iCs/>
          <w:lang w:val="es-ES"/>
        </w:rPr>
        <w:t>divino</w:t>
      </w:r>
      <w:r w:rsidR="006C7694">
        <w:rPr>
          <w:bCs/>
          <w:iCs/>
          <w:lang w:val="es-ES"/>
        </w:rPr>
        <w:t xml:space="preserve">. </w:t>
      </w:r>
      <w:r w:rsidR="00726DF8">
        <w:rPr>
          <w:bCs/>
          <w:iCs/>
          <w:lang w:val="es-ES"/>
        </w:rPr>
        <w:t xml:space="preserve">Los </w:t>
      </w:r>
      <w:r w:rsidR="00E077FF">
        <w:rPr>
          <w:bCs/>
          <w:iCs/>
          <w:lang w:val="es-ES"/>
        </w:rPr>
        <w:t xml:space="preserve">reyes no solo </w:t>
      </w:r>
      <w:r w:rsidR="007939E3">
        <w:rPr>
          <w:bCs/>
          <w:iCs/>
          <w:lang w:val="es-ES"/>
        </w:rPr>
        <w:t xml:space="preserve">lo son por voluntad </w:t>
      </w:r>
      <w:r w:rsidR="00F61339">
        <w:rPr>
          <w:bCs/>
          <w:iCs/>
          <w:lang w:val="es-ES"/>
        </w:rPr>
        <w:t xml:space="preserve">de Dios, </w:t>
      </w:r>
      <w:r w:rsidR="009522AA">
        <w:rPr>
          <w:bCs/>
          <w:iCs/>
          <w:lang w:val="es-ES"/>
        </w:rPr>
        <w:t xml:space="preserve"> sino que,</w:t>
      </w:r>
      <w:r w:rsidR="001C3A6A">
        <w:rPr>
          <w:bCs/>
          <w:iCs/>
          <w:lang w:val="es-ES"/>
        </w:rPr>
        <w:t xml:space="preserve"> como</w:t>
      </w:r>
      <w:r w:rsidR="00EF0A95">
        <w:rPr>
          <w:bCs/>
          <w:iCs/>
          <w:lang w:val="es-ES"/>
        </w:rPr>
        <w:t xml:space="preserve"> </w:t>
      </w:r>
      <w:r w:rsidR="00F61339">
        <w:rPr>
          <w:bCs/>
          <w:iCs/>
          <w:lang w:val="es-ES"/>
        </w:rPr>
        <w:t>sus Vicarios</w:t>
      </w:r>
      <w:r w:rsidR="00E077FF">
        <w:rPr>
          <w:bCs/>
          <w:iCs/>
          <w:lang w:val="es-ES"/>
        </w:rPr>
        <w:t xml:space="preserve">, </w:t>
      </w:r>
      <w:r w:rsidR="009522AA">
        <w:rPr>
          <w:bCs/>
          <w:iCs/>
          <w:lang w:val="es-ES"/>
        </w:rPr>
        <w:t xml:space="preserve">administran sus reinos terrenales y los cuerpos de sus súbditos tal como </w:t>
      </w:r>
      <w:r w:rsidR="00DA4E6B">
        <w:rPr>
          <w:bCs/>
          <w:iCs/>
          <w:lang w:val="es-ES"/>
        </w:rPr>
        <w:t xml:space="preserve">Dios gobierna su reino celestial y </w:t>
      </w:r>
      <w:r w:rsidR="00EF0A95">
        <w:rPr>
          <w:bCs/>
          <w:iCs/>
          <w:lang w:val="es-ES"/>
        </w:rPr>
        <w:t xml:space="preserve">las almas </w:t>
      </w:r>
      <w:r w:rsidR="008B414F">
        <w:rPr>
          <w:bCs/>
          <w:iCs/>
          <w:lang w:val="es-ES"/>
        </w:rPr>
        <w:t xml:space="preserve">de los hombres, </w:t>
      </w:r>
      <w:r w:rsidR="00A00A37">
        <w:rPr>
          <w:bCs/>
          <w:iCs/>
          <w:lang w:val="es-ES"/>
        </w:rPr>
        <w:t>identificación que</w:t>
      </w:r>
      <w:r w:rsidR="008B414F">
        <w:rPr>
          <w:bCs/>
          <w:iCs/>
          <w:lang w:val="es-ES"/>
        </w:rPr>
        <w:t xml:space="preserve"> otorga </w:t>
      </w:r>
      <w:r w:rsidR="00304665">
        <w:rPr>
          <w:bCs/>
          <w:iCs/>
          <w:lang w:val="es-ES"/>
        </w:rPr>
        <w:t xml:space="preserve">a su gestión </w:t>
      </w:r>
      <w:r w:rsidR="001C3A6A">
        <w:rPr>
          <w:bCs/>
          <w:iCs/>
          <w:lang w:val="es-ES"/>
        </w:rPr>
        <w:t xml:space="preserve"> </w:t>
      </w:r>
      <w:r w:rsidR="00100813">
        <w:rPr>
          <w:bCs/>
          <w:iCs/>
          <w:lang w:val="es-ES"/>
        </w:rPr>
        <w:t>un fundamento i</w:t>
      </w:r>
      <w:r w:rsidR="007F4346">
        <w:rPr>
          <w:bCs/>
          <w:iCs/>
          <w:lang w:val="es-ES"/>
        </w:rPr>
        <w:t>ncuestionable</w:t>
      </w:r>
      <w:r w:rsidR="00100813">
        <w:rPr>
          <w:bCs/>
          <w:iCs/>
          <w:lang w:val="es-ES"/>
        </w:rPr>
        <w:t xml:space="preserve">. </w:t>
      </w:r>
      <w:r w:rsidR="007F4346">
        <w:rPr>
          <w:bCs/>
          <w:iCs/>
          <w:lang w:val="es-ES"/>
        </w:rPr>
        <w:t>Esta construcción de la realeza que comenzara Alfonso X, es continuada por los Reyes Católicos</w:t>
      </w:r>
      <w:r w:rsidR="00294415">
        <w:rPr>
          <w:bCs/>
          <w:iCs/>
          <w:lang w:val="es-ES"/>
        </w:rPr>
        <w:t xml:space="preserve"> en una coyuntura histórica particular, </w:t>
      </w:r>
      <w:r w:rsidR="00741B1B">
        <w:rPr>
          <w:bCs/>
          <w:iCs/>
          <w:lang w:val="es-ES"/>
        </w:rPr>
        <w:t xml:space="preserve">en la cual Isabel había accedido al trono en lugar de la legítima heredera, </w:t>
      </w:r>
      <w:r w:rsidR="00BB305B">
        <w:rPr>
          <w:bCs/>
          <w:iCs/>
          <w:lang w:val="es-ES"/>
        </w:rPr>
        <w:t xml:space="preserve">su sobrina </w:t>
      </w:r>
      <w:r w:rsidR="00741B1B">
        <w:rPr>
          <w:bCs/>
          <w:iCs/>
          <w:lang w:val="es-ES"/>
        </w:rPr>
        <w:t xml:space="preserve">Juana, </w:t>
      </w:r>
      <w:r w:rsidR="00BB305B">
        <w:rPr>
          <w:bCs/>
          <w:iCs/>
          <w:lang w:val="es-ES"/>
        </w:rPr>
        <w:t xml:space="preserve">luego de </w:t>
      </w:r>
      <w:r w:rsidR="00047666">
        <w:rPr>
          <w:bCs/>
          <w:iCs/>
          <w:lang w:val="es-ES"/>
        </w:rPr>
        <w:t>largas luchas, Fernando</w:t>
      </w:r>
      <w:r w:rsidR="006F08DE">
        <w:rPr>
          <w:bCs/>
          <w:iCs/>
          <w:lang w:val="es-ES"/>
        </w:rPr>
        <w:t xml:space="preserve"> intentaba</w:t>
      </w:r>
      <w:r w:rsidR="00047666">
        <w:rPr>
          <w:bCs/>
          <w:iCs/>
          <w:lang w:val="es-ES"/>
        </w:rPr>
        <w:t xml:space="preserve"> afirmarse en su rol como rey de Castilla, </w:t>
      </w:r>
      <w:r w:rsidR="00E97777">
        <w:rPr>
          <w:bCs/>
          <w:iCs/>
          <w:lang w:val="es-ES"/>
        </w:rPr>
        <w:t>y ambos buscaban cimentar la unidad de sus reinos. Si sumamos a esto la relación con el Papado</w:t>
      </w:r>
      <w:r w:rsidR="00712726">
        <w:rPr>
          <w:bCs/>
          <w:iCs/>
          <w:lang w:val="es-ES"/>
        </w:rPr>
        <w:t xml:space="preserve">, al cual </w:t>
      </w:r>
      <w:r w:rsidR="007E0AEB">
        <w:rPr>
          <w:bCs/>
          <w:iCs/>
          <w:lang w:val="es-ES"/>
        </w:rPr>
        <w:t xml:space="preserve">la Corona de Castilla </w:t>
      </w:r>
      <w:r w:rsidR="007E0AEB">
        <w:rPr>
          <w:bCs/>
          <w:iCs/>
          <w:lang w:val="es-ES"/>
        </w:rPr>
        <w:lastRenderedPageBreak/>
        <w:t xml:space="preserve">y Aragón </w:t>
      </w:r>
      <w:r w:rsidR="00712726">
        <w:rPr>
          <w:bCs/>
          <w:iCs/>
          <w:lang w:val="es-ES"/>
        </w:rPr>
        <w:t xml:space="preserve">le reconocía la autoridad </w:t>
      </w:r>
      <w:r w:rsidR="007E0AEB">
        <w:rPr>
          <w:bCs/>
          <w:iCs/>
          <w:lang w:val="es-ES"/>
        </w:rPr>
        <w:t>espiritual  pero intentaba limitar su autoridad temporal dentro</w:t>
      </w:r>
      <w:r w:rsidR="00C43160">
        <w:rPr>
          <w:bCs/>
          <w:iCs/>
          <w:lang w:val="es-ES"/>
        </w:rPr>
        <w:t xml:space="preserve"> del territorio español, es </w:t>
      </w:r>
      <w:r w:rsidR="00697C38">
        <w:rPr>
          <w:bCs/>
          <w:iCs/>
          <w:lang w:val="es-ES"/>
        </w:rPr>
        <w:t xml:space="preserve">productiva </w:t>
      </w:r>
      <w:r w:rsidR="00AA41D8">
        <w:rPr>
          <w:bCs/>
          <w:iCs/>
          <w:lang w:val="es-ES"/>
        </w:rPr>
        <w:t xml:space="preserve">la idea de inscribir un gobierno </w:t>
      </w:r>
      <w:r w:rsidR="00B7422C">
        <w:rPr>
          <w:bCs/>
          <w:iCs/>
          <w:lang w:val="es-ES"/>
        </w:rPr>
        <w:t xml:space="preserve">que buscaba legitimarse y concentrar el poder político en </w:t>
      </w:r>
      <w:r w:rsidR="00402CC0">
        <w:rPr>
          <w:bCs/>
          <w:iCs/>
          <w:lang w:val="es-ES"/>
        </w:rPr>
        <w:t>el</w:t>
      </w:r>
      <w:r w:rsidR="00A00A37">
        <w:rPr>
          <w:bCs/>
          <w:iCs/>
          <w:lang w:val="es-ES"/>
        </w:rPr>
        <w:t xml:space="preserve"> modelo</w:t>
      </w:r>
      <w:r w:rsidR="00DC15CF">
        <w:rPr>
          <w:bCs/>
          <w:iCs/>
          <w:lang w:val="es-ES"/>
        </w:rPr>
        <w:t xml:space="preserve"> </w:t>
      </w:r>
      <w:r w:rsidR="00402CC0">
        <w:rPr>
          <w:bCs/>
          <w:iCs/>
          <w:lang w:val="es-ES"/>
        </w:rPr>
        <w:t>del gobierno providencialista</w:t>
      </w:r>
      <w:r w:rsidR="00BD0044">
        <w:rPr>
          <w:bCs/>
          <w:iCs/>
          <w:lang w:val="es-ES"/>
        </w:rPr>
        <w:t xml:space="preserve"> celestial. Esta inscripción se realiza </w:t>
      </w:r>
      <w:r w:rsidR="00A00B56">
        <w:rPr>
          <w:bCs/>
          <w:iCs/>
          <w:lang w:val="es-ES"/>
        </w:rPr>
        <w:t xml:space="preserve">a partir de un programa iconográfico que remarca la cercanía de los reyes </w:t>
      </w:r>
      <w:r w:rsidR="003C04C9">
        <w:rPr>
          <w:bCs/>
          <w:iCs/>
          <w:lang w:val="es-ES"/>
        </w:rPr>
        <w:t xml:space="preserve">a Cristo, la Virgen y los Santos, </w:t>
      </w:r>
      <w:r w:rsidR="00A00A37">
        <w:rPr>
          <w:bCs/>
          <w:iCs/>
          <w:lang w:val="es-ES"/>
        </w:rPr>
        <w:t xml:space="preserve"> </w:t>
      </w:r>
      <w:r w:rsidR="00B7422C">
        <w:rPr>
          <w:bCs/>
          <w:iCs/>
          <w:lang w:val="es-ES"/>
        </w:rPr>
        <w:t xml:space="preserve"> </w:t>
      </w:r>
      <w:r w:rsidR="00A0009B">
        <w:rPr>
          <w:bCs/>
          <w:iCs/>
          <w:lang w:val="es-ES"/>
        </w:rPr>
        <w:t xml:space="preserve">un ceremonial </w:t>
      </w:r>
      <w:r w:rsidR="00EA7EC6">
        <w:rPr>
          <w:bCs/>
          <w:iCs/>
          <w:lang w:val="es-ES"/>
        </w:rPr>
        <w:t>para las entradas reales que imita las procesiones sacras, o</w:t>
      </w:r>
      <w:r w:rsidR="00E30F0A">
        <w:rPr>
          <w:bCs/>
          <w:iCs/>
          <w:lang w:val="es-ES"/>
        </w:rPr>
        <w:t xml:space="preserve"> una identificación con símbolos</w:t>
      </w:r>
      <w:r w:rsidR="00AD09CC">
        <w:rPr>
          <w:bCs/>
          <w:iCs/>
          <w:lang w:val="es-ES"/>
        </w:rPr>
        <w:t xml:space="preserve"> animales que</w:t>
      </w:r>
      <w:r w:rsidR="00AA1E76">
        <w:rPr>
          <w:bCs/>
          <w:iCs/>
          <w:lang w:val="es-ES"/>
        </w:rPr>
        <w:t xml:space="preserve"> se utilizan </w:t>
      </w:r>
      <w:r w:rsidR="00E52235">
        <w:rPr>
          <w:bCs/>
          <w:iCs/>
          <w:lang w:val="es-ES"/>
        </w:rPr>
        <w:t>para destacar alguna característica puntual, la excepcionalidad en el caso del fénix, la piedad en el del pelícano</w:t>
      </w:r>
      <w:r w:rsidR="000A4086">
        <w:rPr>
          <w:bCs/>
          <w:iCs/>
          <w:lang w:val="es-ES"/>
        </w:rPr>
        <w:t xml:space="preserve">, pero que, debido al </w:t>
      </w:r>
      <w:proofErr w:type="spellStart"/>
      <w:r w:rsidR="000A4086">
        <w:rPr>
          <w:bCs/>
          <w:iCs/>
          <w:lang w:val="es-ES"/>
        </w:rPr>
        <w:t>plurivalor</w:t>
      </w:r>
      <w:proofErr w:type="spellEnd"/>
      <w:r w:rsidR="000A4086">
        <w:rPr>
          <w:bCs/>
          <w:iCs/>
          <w:lang w:val="es-ES"/>
        </w:rPr>
        <w:t xml:space="preserve"> propio de los símbolos</w:t>
      </w:r>
      <w:r w:rsidR="00F73DE0">
        <w:rPr>
          <w:bCs/>
          <w:iCs/>
          <w:lang w:val="es-ES"/>
        </w:rPr>
        <w:t>, no dejan de aporta</w:t>
      </w:r>
      <w:r w:rsidR="005560D3">
        <w:rPr>
          <w:bCs/>
          <w:iCs/>
          <w:lang w:val="es-ES"/>
        </w:rPr>
        <w:t>r</w:t>
      </w:r>
      <w:r w:rsidR="00F73DE0">
        <w:rPr>
          <w:bCs/>
          <w:iCs/>
          <w:lang w:val="es-ES"/>
        </w:rPr>
        <w:t xml:space="preserve"> </w:t>
      </w:r>
      <w:r w:rsidR="000A4086">
        <w:rPr>
          <w:bCs/>
          <w:iCs/>
          <w:lang w:val="es-ES"/>
        </w:rPr>
        <w:t>su bagaje significante</w:t>
      </w:r>
      <w:r w:rsidR="00056913">
        <w:rPr>
          <w:bCs/>
          <w:iCs/>
          <w:lang w:val="es-ES"/>
        </w:rPr>
        <w:t xml:space="preserve"> construido históricamente</w:t>
      </w:r>
      <w:r w:rsidR="00C576FB">
        <w:rPr>
          <w:bCs/>
          <w:iCs/>
          <w:lang w:val="es-ES"/>
        </w:rPr>
        <w:t xml:space="preserve">, </w:t>
      </w:r>
      <w:r w:rsidR="005560D3">
        <w:rPr>
          <w:bCs/>
          <w:iCs/>
          <w:lang w:val="es-ES"/>
        </w:rPr>
        <w:t>esto es</w:t>
      </w:r>
      <w:r w:rsidR="00C576FB">
        <w:rPr>
          <w:bCs/>
          <w:iCs/>
          <w:lang w:val="es-ES"/>
        </w:rPr>
        <w:t>, la identificación con Cristo</w:t>
      </w:r>
      <w:r w:rsidR="00056913">
        <w:rPr>
          <w:bCs/>
          <w:iCs/>
          <w:lang w:val="es-ES"/>
        </w:rPr>
        <w:t xml:space="preserve">. </w:t>
      </w:r>
    </w:p>
    <w:p w:rsidR="000632FF" w:rsidRDefault="00B036E5" w:rsidP="00264843">
      <w:pPr>
        <w:ind w:firstLine="708"/>
        <w:rPr>
          <w:bCs/>
          <w:iCs/>
          <w:lang w:val="es-ES"/>
        </w:rPr>
      </w:pPr>
      <w:r>
        <w:rPr>
          <w:bCs/>
          <w:iCs/>
          <w:lang w:val="es-ES"/>
        </w:rPr>
        <w:t>Por último, señalemos que, y</w:t>
      </w:r>
      <w:r w:rsidR="00737F58">
        <w:rPr>
          <w:bCs/>
          <w:iCs/>
          <w:lang w:val="es-ES"/>
        </w:rPr>
        <w:t>a sea para el encomio, como lo vimos aquí, o para la burla</w:t>
      </w:r>
      <w:r>
        <w:rPr>
          <w:bCs/>
          <w:iCs/>
          <w:lang w:val="es-ES"/>
        </w:rPr>
        <w:t xml:space="preserve"> y la denigración,</w:t>
      </w:r>
      <w:r w:rsidR="000632FF">
        <w:rPr>
          <w:bCs/>
          <w:iCs/>
          <w:lang w:val="es-ES"/>
        </w:rPr>
        <w:t xml:space="preserve"> </w:t>
      </w:r>
      <w:r w:rsidR="00021841">
        <w:rPr>
          <w:bCs/>
          <w:iCs/>
          <w:lang w:val="es-ES"/>
        </w:rPr>
        <w:t>el empleo de</w:t>
      </w:r>
      <w:r w:rsidR="000D0241">
        <w:rPr>
          <w:bCs/>
          <w:iCs/>
          <w:lang w:val="es-ES"/>
        </w:rPr>
        <w:t xml:space="preserve"> animales</w:t>
      </w:r>
      <w:r w:rsidR="006B2BEC">
        <w:rPr>
          <w:bCs/>
          <w:iCs/>
          <w:lang w:val="es-ES"/>
        </w:rPr>
        <w:t xml:space="preserve"> como términos de descripción de las figuras de poder </w:t>
      </w:r>
      <w:r w:rsidR="00021841">
        <w:rPr>
          <w:bCs/>
          <w:iCs/>
          <w:lang w:val="es-ES"/>
        </w:rPr>
        <w:t>no es nuevo</w:t>
      </w:r>
      <w:r w:rsidR="00AE4E69">
        <w:rPr>
          <w:bCs/>
          <w:iCs/>
          <w:lang w:val="es-ES"/>
        </w:rPr>
        <w:t>, y no ha perdido vigencia</w:t>
      </w:r>
      <w:r w:rsidR="001F1989">
        <w:rPr>
          <w:bCs/>
          <w:iCs/>
          <w:lang w:val="es-ES"/>
        </w:rPr>
        <w:t>. L</w:t>
      </w:r>
      <w:r w:rsidR="00015DA0">
        <w:rPr>
          <w:bCs/>
          <w:iCs/>
          <w:lang w:val="es-ES"/>
        </w:rPr>
        <w:t>os peludos, tortugas, yeguas y gatos de nuestra historia</w:t>
      </w:r>
      <w:r w:rsidR="001F1989">
        <w:rPr>
          <w:bCs/>
          <w:iCs/>
          <w:lang w:val="es-ES"/>
        </w:rPr>
        <w:t xml:space="preserve"> </w:t>
      </w:r>
      <w:r>
        <w:rPr>
          <w:bCs/>
          <w:iCs/>
          <w:lang w:val="es-ES"/>
        </w:rPr>
        <w:t xml:space="preserve">nacional </w:t>
      </w:r>
      <w:r w:rsidR="001F1989">
        <w:rPr>
          <w:bCs/>
          <w:iCs/>
          <w:lang w:val="es-ES"/>
        </w:rPr>
        <w:t>son una prueba indudable de ello</w:t>
      </w:r>
      <w:r w:rsidR="007637B6">
        <w:rPr>
          <w:bCs/>
          <w:iCs/>
          <w:lang w:val="es-ES"/>
        </w:rPr>
        <w:t>.</w:t>
      </w:r>
      <w:r w:rsidR="00737F58">
        <w:rPr>
          <w:bCs/>
          <w:iCs/>
          <w:lang w:val="es-ES"/>
        </w:rPr>
        <w:t xml:space="preserve"> </w:t>
      </w:r>
      <w:r w:rsidR="007637B6">
        <w:rPr>
          <w:bCs/>
          <w:iCs/>
          <w:lang w:val="es-ES"/>
        </w:rPr>
        <w:t xml:space="preserve"> </w:t>
      </w:r>
      <w:r w:rsidR="000D0241">
        <w:rPr>
          <w:bCs/>
          <w:iCs/>
          <w:lang w:val="es-ES"/>
        </w:rPr>
        <w:t xml:space="preserve"> </w:t>
      </w:r>
    </w:p>
    <w:p w:rsidR="00F73DE0" w:rsidRPr="00616A8C" w:rsidRDefault="00F73DE0" w:rsidP="00AF47B2">
      <w:pPr>
        <w:rPr>
          <w:bCs/>
          <w:iCs/>
          <w:lang w:val="es-ES"/>
        </w:rPr>
      </w:pPr>
    </w:p>
    <w:p w:rsidR="00604B5A" w:rsidRDefault="00604B5A" w:rsidP="00D705E1">
      <w:pPr>
        <w:rPr>
          <w:bCs/>
          <w:iCs/>
        </w:rPr>
      </w:pPr>
    </w:p>
    <w:p w:rsidR="007E41E5" w:rsidRDefault="009724BB" w:rsidP="00D401EC">
      <w:pPr>
        <w:rPr>
          <w:iCs/>
        </w:rPr>
      </w:pPr>
      <w:r>
        <w:rPr>
          <w:bCs/>
          <w:iCs/>
        </w:rPr>
        <w:t xml:space="preserve"> </w:t>
      </w:r>
    </w:p>
    <w:p w:rsidR="008A54E2" w:rsidRPr="00264843" w:rsidRDefault="008A54E2" w:rsidP="008A54E2">
      <w:pPr>
        <w:rPr>
          <w:b/>
          <w:bCs/>
          <w:lang w:val="es-ES"/>
        </w:rPr>
      </w:pPr>
      <w:r w:rsidRPr="00264843">
        <w:rPr>
          <w:b/>
          <w:bCs/>
          <w:lang w:val="es-ES"/>
        </w:rPr>
        <w:t>Nota</w:t>
      </w:r>
    </w:p>
    <w:p w:rsidR="008A54E2" w:rsidRPr="008A54E2" w:rsidRDefault="008A54E2" w:rsidP="008A54E2">
      <w:pPr>
        <w:rPr>
          <w:lang w:val="es-ES"/>
        </w:rPr>
      </w:pPr>
      <w:r w:rsidRPr="008A54E2">
        <w:rPr>
          <w:lang w:val="es-ES"/>
        </w:rPr>
        <w:t xml:space="preserve">Todas las citas del cancionero del siglo XV  provienen de </w:t>
      </w:r>
      <w:r w:rsidRPr="008A54E2">
        <w:rPr>
          <w:i/>
          <w:iCs/>
          <w:lang w:val="es-ES"/>
        </w:rPr>
        <w:t> </w:t>
      </w:r>
      <w:proofErr w:type="spellStart"/>
      <w:r w:rsidRPr="008A54E2">
        <w:rPr>
          <w:iCs/>
          <w:lang w:val="es-ES"/>
        </w:rPr>
        <w:t>An</w:t>
      </w:r>
      <w:proofErr w:type="spellEnd"/>
      <w:r w:rsidRPr="008A54E2">
        <w:rPr>
          <w:iCs/>
          <w:lang w:val="es-ES"/>
        </w:rPr>
        <w:t xml:space="preserve"> </w:t>
      </w:r>
      <w:proofErr w:type="spellStart"/>
      <w:r w:rsidRPr="008A54E2">
        <w:rPr>
          <w:iCs/>
          <w:lang w:val="es-ES"/>
        </w:rPr>
        <w:t>Electronic</w:t>
      </w:r>
      <w:proofErr w:type="spellEnd"/>
      <w:r w:rsidRPr="008A54E2">
        <w:rPr>
          <w:iCs/>
          <w:lang w:val="es-ES"/>
        </w:rPr>
        <w:t xml:space="preserve"> Corpus of 15th Century </w:t>
      </w:r>
      <w:proofErr w:type="spellStart"/>
      <w:r w:rsidRPr="008A54E2">
        <w:rPr>
          <w:iCs/>
          <w:lang w:val="es-ES"/>
        </w:rPr>
        <w:t>Castilian</w:t>
      </w:r>
      <w:proofErr w:type="spellEnd"/>
      <w:r w:rsidRPr="008A54E2">
        <w:rPr>
          <w:i/>
          <w:iCs/>
          <w:lang w:val="es-ES"/>
        </w:rPr>
        <w:t xml:space="preserve">  Cancionero </w:t>
      </w:r>
      <w:proofErr w:type="spellStart"/>
      <w:r w:rsidRPr="008A54E2">
        <w:rPr>
          <w:iCs/>
          <w:lang w:val="es-ES"/>
        </w:rPr>
        <w:t>Manuscripts</w:t>
      </w:r>
      <w:proofErr w:type="spellEnd"/>
      <w:r w:rsidRPr="008A54E2">
        <w:rPr>
          <w:lang w:val="es-ES"/>
        </w:rPr>
        <w:t>,  </w:t>
      </w:r>
      <w:r>
        <w:rPr>
          <w:lang w:val="es-ES"/>
        </w:rPr>
        <w:t>excepto</w:t>
      </w:r>
      <w:r w:rsidRPr="008A54E2">
        <w:rPr>
          <w:lang w:val="es-ES"/>
        </w:rPr>
        <w:t xml:space="preserve"> el </w:t>
      </w:r>
      <w:r w:rsidRPr="008A54E2">
        <w:rPr>
          <w:i/>
          <w:lang w:val="es-ES"/>
        </w:rPr>
        <w:t>Cancionero</w:t>
      </w:r>
      <w:r w:rsidRPr="008A54E2">
        <w:rPr>
          <w:lang w:val="es-ES"/>
        </w:rPr>
        <w:t xml:space="preserve"> de Pedro </w:t>
      </w:r>
      <w:proofErr w:type="spellStart"/>
      <w:r w:rsidRPr="008A54E2">
        <w:rPr>
          <w:lang w:val="es-ES"/>
        </w:rPr>
        <w:t>Marcuello</w:t>
      </w:r>
      <w:proofErr w:type="spellEnd"/>
      <w:r w:rsidRPr="008A54E2">
        <w:rPr>
          <w:lang w:val="es-ES"/>
        </w:rPr>
        <w:t xml:space="preserve">, que se cita de la edición de Blecua (1987). </w:t>
      </w:r>
    </w:p>
    <w:p w:rsidR="008A54E2" w:rsidRPr="008A54E2" w:rsidRDefault="008A54E2" w:rsidP="008A54E2">
      <w:pPr>
        <w:rPr>
          <w:lang w:val="es-ES"/>
        </w:rPr>
      </w:pPr>
    </w:p>
    <w:p w:rsidR="008A54E2" w:rsidRPr="00264843" w:rsidRDefault="008A54E2" w:rsidP="008A54E2">
      <w:pPr>
        <w:rPr>
          <w:b/>
          <w:bCs/>
          <w:lang w:val="es-ES"/>
        </w:rPr>
      </w:pPr>
      <w:r w:rsidRPr="00264843">
        <w:rPr>
          <w:b/>
          <w:bCs/>
          <w:lang w:val="es-ES"/>
        </w:rPr>
        <w:t>Bibliografía</w:t>
      </w:r>
    </w:p>
    <w:p w:rsidR="00B57A56" w:rsidRPr="008A54E2" w:rsidRDefault="00B57A56" w:rsidP="002A3512">
      <w:pPr>
        <w:jc w:val="left"/>
        <w:rPr>
          <w:lang w:val="es-ES"/>
        </w:rPr>
      </w:pPr>
      <w:proofErr w:type="spellStart"/>
      <w:r>
        <w:rPr>
          <w:lang w:val="es-ES"/>
        </w:rPr>
        <w:t>Agamben</w:t>
      </w:r>
      <w:proofErr w:type="spellEnd"/>
      <w:r>
        <w:rPr>
          <w:lang w:val="es-ES"/>
        </w:rPr>
        <w:t>, Giorgio</w:t>
      </w:r>
      <w:r w:rsidR="00C621FD">
        <w:rPr>
          <w:lang w:val="es-ES"/>
        </w:rPr>
        <w:t xml:space="preserve"> (2006)</w:t>
      </w:r>
      <w:r>
        <w:rPr>
          <w:lang w:val="es-ES"/>
        </w:rPr>
        <w:t>, “¿Qué es un dispositivo?”</w:t>
      </w:r>
      <w:r w:rsidR="00C621FD">
        <w:rPr>
          <w:lang w:val="es-ES"/>
        </w:rPr>
        <w:t xml:space="preserve"> </w:t>
      </w:r>
      <w:r w:rsidR="00C621FD" w:rsidRPr="00C621FD">
        <w:rPr>
          <w:lang w:val="es-ES"/>
        </w:rPr>
        <w:t>Traducci</w:t>
      </w:r>
      <w:r w:rsidR="00C621FD" w:rsidRPr="00C621FD">
        <w:rPr>
          <w:rFonts w:hint="cs"/>
          <w:lang w:val="es-ES"/>
        </w:rPr>
        <w:t>ó</w:t>
      </w:r>
      <w:r w:rsidR="00C621FD" w:rsidRPr="00C621FD">
        <w:rPr>
          <w:lang w:val="es-ES"/>
        </w:rPr>
        <w:t>n para Artiller</w:t>
      </w:r>
      <w:r w:rsidR="00C621FD" w:rsidRPr="00C621FD">
        <w:rPr>
          <w:rFonts w:hint="cs"/>
          <w:lang w:val="es-ES"/>
        </w:rPr>
        <w:t>í</w:t>
      </w:r>
      <w:r w:rsidR="00C621FD" w:rsidRPr="00C621FD">
        <w:rPr>
          <w:lang w:val="es-ES"/>
        </w:rPr>
        <w:t xml:space="preserve">a Inmanente a partir del original italiano </w:t>
      </w:r>
      <w:r w:rsidR="00C621FD" w:rsidRPr="00C621FD">
        <w:rPr>
          <w:i/>
          <w:iCs/>
          <w:lang w:val="es-ES"/>
        </w:rPr>
        <w:t xml:space="preserve">Che </w:t>
      </w:r>
      <w:proofErr w:type="spellStart"/>
      <w:r w:rsidR="00C621FD" w:rsidRPr="00C621FD">
        <w:rPr>
          <w:i/>
          <w:iCs/>
          <w:lang w:val="es-ES"/>
        </w:rPr>
        <w:t>cos</w:t>
      </w:r>
      <w:r w:rsidR="00C621FD" w:rsidRPr="00C621FD">
        <w:rPr>
          <w:rFonts w:hint="cs"/>
          <w:i/>
          <w:iCs/>
          <w:lang w:val="es-ES"/>
        </w:rPr>
        <w:t>’è</w:t>
      </w:r>
      <w:proofErr w:type="spellEnd"/>
      <w:r w:rsidR="00C621FD" w:rsidRPr="00C621FD">
        <w:rPr>
          <w:i/>
          <w:iCs/>
          <w:lang w:val="es-ES"/>
        </w:rPr>
        <w:t xml:space="preserve"> un dispositivo</w:t>
      </w:r>
      <w:proofErr w:type="gramStart"/>
      <w:r w:rsidR="00C621FD" w:rsidRPr="00C621FD">
        <w:rPr>
          <w:i/>
          <w:iCs/>
          <w:lang w:val="es-ES"/>
        </w:rPr>
        <w:t>?</w:t>
      </w:r>
      <w:proofErr w:type="gramEnd"/>
      <w:r w:rsidR="00C621FD" w:rsidRPr="00C621FD">
        <w:rPr>
          <w:lang w:val="es-ES"/>
        </w:rPr>
        <w:t xml:space="preserve"> </w:t>
      </w:r>
      <w:r w:rsidR="00FF137B">
        <w:rPr>
          <w:lang w:val="es-ES"/>
        </w:rPr>
        <w:t xml:space="preserve">(2006), Roma: </w:t>
      </w:r>
      <w:proofErr w:type="spellStart"/>
      <w:r w:rsidR="00FF137B">
        <w:rPr>
          <w:lang w:val="es-ES"/>
        </w:rPr>
        <w:t>Nottetempo</w:t>
      </w:r>
      <w:proofErr w:type="spellEnd"/>
      <w:r w:rsidR="00FF137B">
        <w:rPr>
          <w:lang w:val="es-ES"/>
        </w:rPr>
        <w:t>. Dispo</w:t>
      </w:r>
      <w:r>
        <w:rPr>
          <w:lang w:val="es-ES"/>
        </w:rPr>
        <w:t xml:space="preserve">nible en </w:t>
      </w:r>
      <w:r w:rsidRPr="00B57A56">
        <w:rPr>
          <w:lang w:val="es-ES"/>
        </w:rPr>
        <w:t>https://artilleriainmanente.noblogs.org/post/2017/03/12/que-es-un-dispositivo/</w:t>
      </w:r>
    </w:p>
    <w:p w:rsidR="008A54E2" w:rsidRPr="008A54E2" w:rsidRDefault="008A54E2" w:rsidP="008A54E2">
      <w:pPr>
        <w:rPr>
          <w:lang w:val="es-ES"/>
        </w:rPr>
      </w:pPr>
      <w:proofErr w:type="spellStart"/>
      <w:r w:rsidRPr="008A54E2">
        <w:rPr>
          <w:lang w:val="es-ES"/>
        </w:rPr>
        <w:t>Amengual</w:t>
      </w:r>
      <w:proofErr w:type="spellEnd"/>
      <w:r w:rsidRPr="008A54E2">
        <w:rPr>
          <w:lang w:val="es-ES"/>
        </w:rPr>
        <w:t xml:space="preserve"> Mira, Mar (2014). “Los modelos </w:t>
      </w:r>
      <w:proofErr w:type="spellStart"/>
      <w:r w:rsidRPr="008A54E2">
        <w:rPr>
          <w:lang w:val="es-ES"/>
        </w:rPr>
        <w:t>animalísticos</w:t>
      </w:r>
      <w:proofErr w:type="spellEnd"/>
      <w:r w:rsidRPr="008A54E2">
        <w:rPr>
          <w:lang w:val="es-ES"/>
        </w:rPr>
        <w:t xml:space="preserve"> de la razón de estado: usos del bestiario en la emblemática política del siglo XVII” (trabajo Fin de Máster). Madrid, España: E-</w:t>
      </w:r>
      <w:proofErr w:type="spellStart"/>
      <w:r w:rsidRPr="008A54E2">
        <w:rPr>
          <w:lang w:val="es-ES"/>
        </w:rPr>
        <w:t>Prints</w:t>
      </w:r>
      <w:proofErr w:type="spellEnd"/>
      <w:r w:rsidRPr="008A54E2">
        <w:rPr>
          <w:lang w:val="es-ES"/>
        </w:rPr>
        <w:t xml:space="preserve"> Complutense. Disponible en http://eprints.ucm.es/30035/. Consultado el </w:t>
      </w:r>
      <w:r w:rsidR="00442DF6">
        <w:rPr>
          <w:lang w:val="es-ES"/>
        </w:rPr>
        <w:t>17</w:t>
      </w:r>
      <w:r w:rsidRPr="008A54E2">
        <w:rPr>
          <w:lang w:val="es-ES"/>
        </w:rPr>
        <w:t xml:space="preserve"> de</w:t>
      </w:r>
      <w:r w:rsidR="00442DF6">
        <w:rPr>
          <w:lang w:val="es-ES"/>
        </w:rPr>
        <w:t xml:space="preserve"> junio</w:t>
      </w:r>
      <w:r w:rsidRPr="008A54E2">
        <w:rPr>
          <w:lang w:val="es-ES"/>
        </w:rPr>
        <w:t xml:space="preserve"> de 201</w:t>
      </w:r>
      <w:r w:rsidR="00442DF6">
        <w:rPr>
          <w:lang w:val="es-ES"/>
        </w:rPr>
        <w:t>9</w:t>
      </w:r>
      <w:r w:rsidRPr="008A54E2">
        <w:rPr>
          <w:lang w:val="es-ES"/>
        </w:rPr>
        <w:t xml:space="preserve">. </w:t>
      </w:r>
    </w:p>
    <w:p w:rsidR="008A54E2" w:rsidRPr="008A54E2" w:rsidRDefault="008A54E2" w:rsidP="008A54E2">
      <w:pPr>
        <w:rPr>
          <w:lang w:val="es-ES"/>
        </w:rPr>
      </w:pPr>
      <w:proofErr w:type="spellStart"/>
      <w:r w:rsidRPr="008A54E2">
        <w:rPr>
          <w:lang w:val="es-ES"/>
        </w:rPr>
        <w:lastRenderedPageBreak/>
        <w:t>An</w:t>
      </w:r>
      <w:proofErr w:type="spellEnd"/>
      <w:r w:rsidRPr="008A54E2">
        <w:rPr>
          <w:lang w:val="es-ES"/>
        </w:rPr>
        <w:t xml:space="preserve"> </w:t>
      </w:r>
      <w:proofErr w:type="spellStart"/>
      <w:r w:rsidRPr="008A54E2">
        <w:rPr>
          <w:lang w:val="es-ES"/>
        </w:rPr>
        <w:t>Electronic</w:t>
      </w:r>
      <w:proofErr w:type="spellEnd"/>
      <w:r w:rsidRPr="008A54E2">
        <w:rPr>
          <w:lang w:val="es-ES"/>
        </w:rPr>
        <w:t xml:space="preserve"> Corpus of 15th Century </w:t>
      </w:r>
      <w:proofErr w:type="spellStart"/>
      <w:r w:rsidRPr="008A54E2">
        <w:rPr>
          <w:lang w:val="es-ES"/>
        </w:rPr>
        <w:t>Castilian</w:t>
      </w:r>
      <w:proofErr w:type="spellEnd"/>
      <w:r w:rsidRPr="008A54E2">
        <w:rPr>
          <w:lang w:val="es-ES"/>
        </w:rPr>
        <w:t xml:space="preserve"> </w:t>
      </w:r>
      <w:r w:rsidRPr="008A54E2">
        <w:rPr>
          <w:i/>
          <w:lang w:val="es-ES"/>
        </w:rPr>
        <w:t>Cancionero</w:t>
      </w:r>
      <w:r w:rsidRPr="008A54E2">
        <w:rPr>
          <w:lang w:val="es-ES"/>
        </w:rPr>
        <w:t xml:space="preserve"> </w:t>
      </w:r>
      <w:proofErr w:type="spellStart"/>
      <w:r w:rsidRPr="008A54E2">
        <w:rPr>
          <w:lang w:val="es-ES"/>
        </w:rPr>
        <w:t>Manuscripts</w:t>
      </w:r>
      <w:proofErr w:type="spellEnd"/>
      <w:r w:rsidRPr="008A54E2">
        <w:rPr>
          <w:lang w:val="es-ES"/>
        </w:rPr>
        <w:t xml:space="preserve">, [en línea]   http://cancionerovirtual.liv.ac.uk. Consultado el 6 de </w:t>
      </w:r>
      <w:r w:rsidR="00442DF6">
        <w:rPr>
          <w:lang w:val="es-ES"/>
        </w:rPr>
        <w:t>junio</w:t>
      </w:r>
      <w:r w:rsidRPr="008A54E2">
        <w:rPr>
          <w:lang w:val="es-ES"/>
        </w:rPr>
        <w:t xml:space="preserve"> de 201</w:t>
      </w:r>
      <w:r w:rsidR="00442DF6">
        <w:rPr>
          <w:lang w:val="es-ES"/>
        </w:rPr>
        <w:t>9</w:t>
      </w:r>
      <w:r w:rsidRPr="008A54E2">
        <w:rPr>
          <w:lang w:val="es-ES"/>
        </w:rPr>
        <w:t>.</w:t>
      </w:r>
    </w:p>
    <w:p w:rsidR="008A54E2" w:rsidRDefault="008A54E2" w:rsidP="008A54E2">
      <w:pPr>
        <w:rPr>
          <w:lang w:val="es-ES"/>
        </w:rPr>
      </w:pPr>
      <w:r w:rsidRPr="008A54E2">
        <w:rPr>
          <w:lang w:val="es-ES"/>
        </w:rPr>
        <w:t xml:space="preserve">Bernáldez, Andrés (1870) </w:t>
      </w:r>
      <w:r w:rsidRPr="008A54E2">
        <w:rPr>
          <w:i/>
          <w:lang w:val="es-ES"/>
        </w:rPr>
        <w:t>Historia de los Reyes Católicos D. Fernando y Doña Isabel</w:t>
      </w:r>
      <w:r w:rsidRPr="008A54E2">
        <w:rPr>
          <w:lang w:val="es-ES"/>
        </w:rPr>
        <w:t xml:space="preserve">, Madrid, España: José María </w:t>
      </w:r>
      <w:proofErr w:type="spellStart"/>
      <w:r w:rsidRPr="008A54E2">
        <w:rPr>
          <w:lang w:val="es-ES"/>
        </w:rPr>
        <w:t>Geoffrin</w:t>
      </w:r>
      <w:proofErr w:type="spellEnd"/>
      <w:r w:rsidRPr="008A54E2">
        <w:rPr>
          <w:lang w:val="es-ES"/>
        </w:rPr>
        <w:t xml:space="preserve">.  </w:t>
      </w:r>
    </w:p>
    <w:p w:rsidR="000F5720" w:rsidRDefault="00D11727" w:rsidP="008A54E2">
      <w:pPr>
        <w:rPr>
          <w:lang w:val="es-ES"/>
        </w:rPr>
      </w:pPr>
      <w:proofErr w:type="spellStart"/>
      <w:r w:rsidRPr="00D11727">
        <w:rPr>
          <w:lang w:val="es-ES"/>
        </w:rPr>
        <w:t>Biersack</w:t>
      </w:r>
      <w:proofErr w:type="spellEnd"/>
      <w:r w:rsidRPr="00D11727">
        <w:rPr>
          <w:lang w:val="es-ES"/>
        </w:rPr>
        <w:t>, Martin</w:t>
      </w:r>
      <w:r>
        <w:rPr>
          <w:lang w:val="es-ES"/>
        </w:rPr>
        <w:t xml:space="preserve"> (2009)</w:t>
      </w:r>
      <w:r w:rsidRPr="00D11727">
        <w:rPr>
          <w:b/>
          <w:bCs/>
          <w:lang w:val="es-ES"/>
        </w:rPr>
        <w:t xml:space="preserve"> “</w:t>
      </w:r>
      <w:r w:rsidRPr="00D11727">
        <w:rPr>
          <w:bCs/>
          <w:lang w:val="es-ES"/>
        </w:rPr>
        <w:t>Los Reyes Católicos y la tradición imperial romana”</w:t>
      </w:r>
      <w:r w:rsidRPr="00D11727">
        <w:rPr>
          <w:lang w:val="es-ES"/>
        </w:rPr>
        <w:t xml:space="preserve">, </w:t>
      </w:r>
      <w:proofErr w:type="spellStart"/>
      <w:r w:rsidRPr="00D11727">
        <w:rPr>
          <w:i/>
          <w:iCs/>
          <w:lang w:val="es-ES"/>
        </w:rPr>
        <w:t>eHumanista</w:t>
      </w:r>
      <w:proofErr w:type="spellEnd"/>
      <w:r w:rsidRPr="00D11727">
        <w:rPr>
          <w:lang w:val="es-ES"/>
        </w:rPr>
        <w:t xml:space="preserve">: </w:t>
      </w:r>
      <w:proofErr w:type="spellStart"/>
      <w:r w:rsidRPr="00D11727">
        <w:rPr>
          <w:lang w:val="es-ES"/>
        </w:rPr>
        <w:t>Volume</w:t>
      </w:r>
      <w:proofErr w:type="spellEnd"/>
      <w:r w:rsidRPr="00D11727">
        <w:rPr>
          <w:lang w:val="es-ES"/>
        </w:rPr>
        <w:t xml:space="preserve"> 12, pp. 33-47.</w:t>
      </w:r>
    </w:p>
    <w:p w:rsidR="00B65F40" w:rsidRPr="00264843" w:rsidRDefault="00B65F40" w:rsidP="00B65F40">
      <w:pPr>
        <w:spacing w:line="480" w:lineRule="auto"/>
        <w:rPr>
          <w:lang w:val="en-US"/>
        </w:rPr>
      </w:pPr>
      <w:proofErr w:type="spellStart"/>
      <w:proofErr w:type="gramStart"/>
      <w:r w:rsidRPr="00264843">
        <w:rPr>
          <w:lang w:val="en-US"/>
        </w:rPr>
        <w:t>B</w:t>
      </w:r>
      <w:r w:rsidR="00FE3895" w:rsidRPr="00264843">
        <w:rPr>
          <w:lang w:val="en-US"/>
        </w:rPr>
        <w:t>oase</w:t>
      </w:r>
      <w:proofErr w:type="spellEnd"/>
      <w:r w:rsidR="00FE3895" w:rsidRPr="00264843">
        <w:rPr>
          <w:lang w:val="en-US"/>
        </w:rPr>
        <w:t xml:space="preserve">, </w:t>
      </w:r>
      <w:r w:rsidRPr="00264843">
        <w:rPr>
          <w:lang w:val="en-US"/>
        </w:rPr>
        <w:t>R</w:t>
      </w:r>
      <w:r w:rsidR="00FE3895" w:rsidRPr="00264843">
        <w:rPr>
          <w:lang w:val="en-US"/>
        </w:rPr>
        <w:t>oger (2013)</w:t>
      </w:r>
      <w:r w:rsidRPr="00264843">
        <w:rPr>
          <w:lang w:val="en-US"/>
        </w:rPr>
        <w:t xml:space="preserve"> “The Image of the Phoenix in Catalan and Castilian Poetry from </w:t>
      </w:r>
      <w:proofErr w:type="spellStart"/>
      <w:r w:rsidRPr="00264843">
        <w:rPr>
          <w:lang w:val="en-US"/>
        </w:rPr>
        <w:t>Ausiàs</w:t>
      </w:r>
      <w:proofErr w:type="spellEnd"/>
      <w:r w:rsidRPr="00264843">
        <w:rPr>
          <w:lang w:val="en-US"/>
        </w:rPr>
        <w:t xml:space="preserve"> March to </w:t>
      </w:r>
      <w:proofErr w:type="spellStart"/>
      <w:r w:rsidRPr="00264843">
        <w:rPr>
          <w:lang w:val="en-US"/>
        </w:rPr>
        <w:t>Crespí</w:t>
      </w:r>
      <w:proofErr w:type="spellEnd"/>
      <w:r w:rsidRPr="00264843">
        <w:rPr>
          <w:lang w:val="en-US"/>
        </w:rPr>
        <w:t xml:space="preserve"> de </w:t>
      </w:r>
      <w:proofErr w:type="spellStart"/>
      <w:r w:rsidRPr="00264843">
        <w:rPr>
          <w:lang w:val="en-US"/>
        </w:rPr>
        <w:t>Valldaura</w:t>
      </w:r>
      <w:proofErr w:type="spellEnd"/>
      <w:r w:rsidRPr="00264843">
        <w:rPr>
          <w:lang w:val="en-US"/>
        </w:rPr>
        <w:t>”.</w:t>
      </w:r>
      <w:proofErr w:type="gramEnd"/>
      <w:r w:rsidRPr="00264843">
        <w:rPr>
          <w:lang w:val="en-US"/>
        </w:rPr>
        <w:t xml:space="preserve"> In Beresford A., Haywood L., &amp; Weiss J. (Eds.), </w:t>
      </w:r>
      <w:r w:rsidRPr="00264843">
        <w:rPr>
          <w:i/>
          <w:iCs/>
          <w:lang w:val="en-US"/>
        </w:rPr>
        <w:t xml:space="preserve">Medieval Hispanic Studies in Memory of Alan </w:t>
      </w:r>
      <w:proofErr w:type="spellStart"/>
      <w:r w:rsidRPr="00264843">
        <w:rPr>
          <w:i/>
          <w:iCs/>
          <w:lang w:val="en-US"/>
        </w:rPr>
        <w:t>Deyermond</w:t>
      </w:r>
      <w:proofErr w:type="spellEnd"/>
      <w:r w:rsidRPr="00264843">
        <w:rPr>
          <w:lang w:val="en-US"/>
        </w:rPr>
        <w:t xml:space="preserve"> (pp. 39-70). Woodbridge, Suffolk; Rochester, NY: </w:t>
      </w:r>
      <w:proofErr w:type="spellStart"/>
      <w:r w:rsidRPr="00264843">
        <w:rPr>
          <w:lang w:val="en-US"/>
        </w:rPr>
        <w:t>Boydell</w:t>
      </w:r>
      <w:proofErr w:type="spellEnd"/>
      <w:r w:rsidRPr="00264843">
        <w:rPr>
          <w:lang w:val="en-US"/>
        </w:rPr>
        <w:t xml:space="preserve"> and Brewer. </w:t>
      </w:r>
      <w:proofErr w:type="spellStart"/>
      <w:r w:rsidRPr="00264843">
        <w:rPr>
          <w:lang w:val="en-US"/>
        </w:rPr>
        <w:t>Disponible</w:t>
      </w:r>
      <w:proofErr w:type="spellEnd"/>
      <w:r w:rsidRPr="00264843">
        <w:rPr>
          <w:lang w:val="en-US"/>
        </w:rPr>
        <w:t xml:space="preserve"> en </w:t>
      </w:r>
    </w:p>
    <w:p w:rsidR="00D636D2" w:rsidRPr="008A54E2" w:rsidRDefault="00F50E37" w:rsidP="00B65F40">
      <w:pPr>
        <w:spacing w:line="480" w:lineRule="auto"/>
        <w:rPr>
          <w:lang w:val="es-ES"/>
        </w:rPr>
      </w:pPr>
      <w:hyperlink r:id="rId9" w:history="1">
        <w:r w:rsidR="00D636D2" w:rsidRPr="00264843">
          <w:rPr>
            <w:rStyle w:val="Hipervnculo"/>
            <w:lang w:val="en-US"/>
          </w:rPr>
          <w:t>https://www.academia.edu/13541555/2_The_Image_of_the_Phoenix_in_Catalan_and_Castilian_Poetry_from_Ausi%C3%A0s_March_to_Cresp%C3%AD_de_Valldaura</w:t>
        </w:r>
      </w:hyperlink>
      <w:r w:rsidR="00D636D2" w:rsidRPr="00264843">
        <w:rPr>
          <w:lang w:val="en-US"/>
        </w:rPr>
        <w:t xml:space="preserve">. </w:t>
      </w:r>
      <w:r w:rsidR="00D636D2">
        <w:rPr>
          <w:lang w:val="es-ES"/>
        </w:rPr>
        <w:t>Consultado el 23 de junio de 2019.</w:t>
      </w:r>
    </w:p>
    <w:p w:rsidR="008A54E2" w:rsidRPr="008A54E2" w:rsidRDefault="008A54E2" w:rsidP="008A54E2">
      <w:pPr>
        <w:rPr>
          <w:lang w:val="es-ES"/>
        </w:rPr>
      </w:pPr>
      <w:r w:rsidRPr="008A54E2">
        <w:rPr>
          <w:lang w:val="es-ES"/>
        </w:rPr>
        <w:t xml:space="preserve">Casas </w:t>
      </w:r>
      <w:proofErr w:type="spellStart"/>
      <w:r w:rsidRPr="008A54E2">
        <w:rPr>
          <w:lang w:val="es-ES"/>
        </w:rPr>
        <w:t>Rigall</w:t>
      </w:r>
      <w:proofErr w:type="spellEnd"/>
      <w:r w:rsidRPr="008A54E2">
        <w:rPr>
          <w:lang w:val="es-ES"/>
        </w:rPr>
        <w:t xml:space="preserve">, Juan (2013) “Invenciones cancioneriles y tradición emblemática: de la sutileza cuatrocentista a la agudeza áurea” en Cacho Casal, Rodrigo y </w:t>
      </w:r>
      <w:proofErr w:type="spellStart"/>
      <w:r w:rsidRPr="008A54E2">
        <w:rPr>
          <w:lang w:val="es-ES"/>
        </w:rPr>
        <w:t>Holloway</w:t>
      </w:r>
      <w:proofErr w:type="spellEnd"/>
      <w:r w:rsidRPr="008A54E2">
        <w:rPr>
          <w:lang w:val="es-ES"/>
        </w:rPr>
        <w:t xml:space="preserve">, </w:t>
      </w:r>
      <w:proofErr w:type="spellStart"/>
      <w:r w:rsidRPr="008A54E2">
        <w:rPr>
          <w:lang w:val="es-ES"/>
        </w:rPr>
        <w:t>Anne</w:t>
      </w:r>
      <w:proofErr w:type="spellEnd"/>
      <w:r w:rsidRPr="008A54E2">
        <w:rPr>
          <w:lang w:val="es-ES"/>
        </w:rPr>
        <w:t xml:space="preserve"> (eds.) </w:t>
      </w:r>
      <w:r w:rsidRPr="008A54E2">
        <w:rPr>
          <w:i/>
          <w:lang w:val="es-ES"/>
        </w:rPr>
        <w:t>Los géneros poéticos del Siglo de Oro. Centros y periferias</w:t>
      </w:r>
      <w:r w:rsidRPr="008A54E2">
        <w:rPr>
          <w:lang w:val="es-ES"/>
        </w:rPr>
        <w:t xml:space="preserve">. (pp. 86-107). </w:t>
      </w:r>
      <w:proofErr w:type="spellStart"/>
      <w:r w:rsidRPr="008A54E2">
        <w:rPr>
          <w:lang w:val="es-ES"/>
        </w:rPr>
        <w:t>Woodbridge</w:t>
      </w:r>
      <w:proofErr w:type="spellEnd"/>
      <w:r w:rsidRPr="008A54E2">
        <w:rPr>
          <w:lang w:val="es-ES"/>
        </w:rPr>
        <w:t xml:space="preserve">, Reino Unido: </w:t>
      </w:r>
      <w:proofErr w:type="spellStart"/>
      <w:r w:rsidRPr="008A54E2">
        <w:rPr>
          <w:lang w:val="es-ES"/>
        </w:rPr>
        <w:t>Tamesis</w:t>
      </w:r>
      <w:proofErr w:type="spellEnd"/>
      <w:r w:rsidRPr="008A54E2">
        <w:rPr>
          <w:lang w:val="es-ES"/>
        </w:rPr>
        <w:t xml:space="preserve"> disponible en https://www.academia.edu/4528381/Invenciones_cancioneriles_y_tradici%C3%B3n_emblem%C3%A1tica_de_la_sutileza_cuatrocentista_a_la_agudeza_%C3% A1urea                     </w:t>
      </w:r>
    </w:p>
    <w:p w:rsidR="008A54E2" w:rsidRPr="008A54E2" w:rsidRDefault="008A54E2" w:rsidP="008A54E2">
      <w:pPr>
        <w:rPr>
          <w:lang w:val="es-ES"/>
        </w:rPr>
      </w:pPr>
      <w:r w:rsidRPr="008A54E2">
        <w:rPr>
          <w:lang w:val="es-ES"/>
        </w:rPr>
        <w:t xml:space="preserve">Corral </w:t>
      </w:r>
      <w:r w:rsidR="00AD3437">
        <w:rPr>
          <w:lang w:val="es-ES"/>
        </w:rPr>
        <w:t xml:space="preserve">Lafuente,  José Luis (2009). </w:t>
      </w:r>
      <w:r w:rsidRPr="008A54E2">
        <w:rPr>
          <w:lang w:val="es-ES"/>
        </w:rPr>
        <w:t xml:space="preserve">“Fernando el Católico y la construcción historiográfica de un mito”. En </w:t>
      </w:r>
      <w:r w:rsidRPr="008A54E2">
        <w:rPr>
          <w:i/>
          <w:lang w:val="es-ES"/>
        </w:rPr>
        <w:t>Aragón en la Edad Media</w:t>
      </w:r>
      <w:r w:rsidRPr="008A54E2">
        <w:rPr>
          <w:lang w:val="es-ES"/>
        </w:rPr>
        <w:t xml:space="preserve">. </w:t>
      </w:r>
      <w:proofErr w:type="gramStart"/>
      <w:r w:rsidRPr="008A54E2">
        <w:rPr>
          <w:lang w:val="es-ES"/>
        </w:rPr>
        <w:t>( 21</w:t>
      </w:r>
      <w:proofErr w:type="gramEnd"/>
      <w:r w:rsidRPr="008A54E2">
        <w:rPr>
          <w:lang w:val="es-ES"/>
        </w:rPr>
        <w:t>) pp. 99-120.</w:t>
      </w:r>
    </w:p>
    <w:p w:rsidR="008A54E2" w:rsidRPr="008A54E2" w:rsidRDefault="008A54E2" w:rsidP="008A54E2">
      <w:pPr>
        <w:rPr>
          <w:lang w:val="es-ES"/>
        </w:rPr>
      </w:pPr>
      <w:r w:rsidRPr="008A54E2">
        <w:rPr>
          <w:lang w:val="es-ES"/>
        </w:rPr>
        <w:t xml:space="preserve"> </w:t>
      </w:r>
      <w:proofErr w:type="spellStart"/>
      <w:r w:rsidRPr="008A54E2">
        <w:rPr>
          <w:lang w:val="es-ES"/>
        </w:rPr>
        <w:t>Deyermond</w:t>
      </w:r>
      <w:proofErr w:type="spellEnd"/>
      <w:r w:rsidRPr="008A54E2">
        <w:rPr>
          <w:lang w:val="es-ES"/>
        </w:rPr>
        <w:t>, Alan (2011) “</w:t>
      </w:r>
      <w:proofErr w:type="spellStart"/>
      <w:r w:rsidRPr="008A54E2">
        <w:rPr>
          <w:lang w:val="es-ES"/>
        </w:rPr>
        <w:t>Ideology</w:t>
      </w:r>
      <w:proofErr w:type="spellEnd"/>
      <w:r w:rsidRPr="008A54E2">
        <w:rPr>
          <w:lang w:val="es-ES"/>
        </w:rPr>
        <w:t xml:space="preserve">, </w:t>
      </w:r>
      <w:proofErr w:type="spellStart"/>
      <w:r w:rsidRPr="008A54E2">
        <w:rPr>
          <w:lang w:val="es-ES"/>
        </w:rPr>
        <w:t>Liturgy</w:t>
      </w:r>
      <w:proofErr w:type="spellEnd"/>
      <w:r w:rsidRPr="008A54E2">
        <w:rPr>
          <w:lang w:val="es-ES"/>
        </w:rPr>
        <w:t xml:space="preserve">, and </w:t>
      </w:r>
      <w:proofErr w:type="spellStart"/>
      <w:r w:rsidRPr="008A54E2">
        <w:rPr>
          <w:lang w:val="es-ES"/>
        </w:rPr>
        <w:t>Image</w:t>
      </w:r>
      <w:proofErr w:type="spellEnd"/>
      <w:r w:rsidRPr="008A54E2">
        <w:rPr>
          <w:lang w:val="es-ES"/>
        </w:rPr>
        <w:t xml:space="preserve"> in </w:t>
      </w:r>
      <w:proofErr w:type="spellStart"/>
      <w:r w:rsidRPr="008A54E2">
        <w:rPr>
          <w:lang w:val="es-ES"/>
        </w:rPr>
        <w:t>the</w:t>
      </w:r>
      <w:proofErr w:type="spellEnd"/>
      <w:r w:rsidRPr="008A54E2">
        <w:rPr>
          <w:lang w:val="es-ES"/>
        </w:rPr>
        <w:t xml:space="preserve"> ‘Cancionero’ of Pedro </w:t>
      </w:r>
      <w:proofErr w:type="spellStart"/>
      <w:r w:rsidRPr="008A54E2">
        <w:rPr>
          <w:lang w:val="es-ES"/>
        </w:rPr>
        <w:t>Marcuello</w:t>
      </w:r>
      <w:proofErr w:type="spellEnd"/>
      <w:r w:rsidRPr="008A54E2">
        <w:rPr>
          <w:lang w:val="es-ES"/>
        </w:rPr>
        <w:t>”. Alicante, España: Biblioteca Virtual Miguel de Cervantes. Disponible en http://www.cervantesvirtual.com/obra-visor-din/ideology-liturgy-and-image-in-the-cancionero-of-pedro-marcuello/html/1b257080-7c9c-11e1-b1fb-00163ebf5e63.html</w:t>
      </w:r>
    </w:p>
    <w:p w:rsidR="008A54E2" w:rsidRDefault="00E24F4A" w:rsidP="008A54E2">
      <w:pPr>
        <w:rPr>
          <w:lang w:val="es-ES"/>
        </w:rPr>
      </w:pPr>
      <w:proofErr w:type="spellStart"/>
      <w:r w:rsidRPr="00E24F4A">
        <w:rPr>
          <w:iCs/>
          <w:lang w:val="es-ES"/>
        </w:rPr>
        <w:t>Guglielmi</w:t>
      </w:r>
      <w:proofErr w:type="spellEnd"/>
      <w:r w:rsidR="00BC634F">
        <w:rPr>
          <w:iCs/>
          <w:lang w:val="es-ES"/>
        </w:rPr>
        <w:t>, Nilda (ed.) (</w:t>
      </w:r>
      <w:r w:rsidR="00AD3437">
        <w:rPr>
          <w:iCs/>
          <w:lang w:val="es-ES"/>
        </w:rPr>
        <w:t>2002</w:t>
      </w:r>
      <w:r w:rsidR="00BC634F">
        <w:rPr>
          <w:iCs/>
          <w:lang w:val="es-ES"/>
        </w:rPr>
        <w:t>)</w:t>
      </w:r>
      <w:r>
        <w:rPr>
          <w:iCs/>
          <w:lang w:val="es-ES"/>
        </w:rPr>
        <w:t xml:space="preserve">  </w:t>
      </w:r>
      <w:r w:rsidR="008A54E2" w:rsidRPr="008A54E2">
        <w:rPr>
          <w:i/>
          <w:iCs/>
          <w:lang w:val="es-ES"/>
        </w:rPr>
        <w:t>El Fisiólogo. Bestiario medieval</w:t>
      </w:r>
      <w:r w:rsidR="008123B7">
        <w:rPr>
          <w:i/>
          <w:iCs/>
          <w:lang w:val="es-ES"/>
        </w:rPr>
        <w:t>.</w:t>
      </w:r>
      <w:r w:rsidR="008A54E2" w:rsidRPr="008A54E2">
        <w:rPr>
          <w:lang w:val="es-ES"/>
        </w:rPr>
        <w:t xml:space="preserve"> Buenos Aires, Argentina: </w:t>
      </w:r>
      <w:proofErr w:type="spellStart"/>
      <w:r w:rsidR="008A54E2" w:rsidRPr="008A54E2">
        <w:rPr>
          <w:lang w:val="es-ES"/>
        </w:rPr>
        <w:t>Eudeba</w:t>
      </w:r>
      <w:proofErr w:type="spellEnd"/>
      <w:r w:rsidR="008A54E2" w:rsidRPr="008A54E2">
        <w:rPr>
          <w:lang w:val="es-ES"/>
        </w:rPr>
        <w:t>.</w:t>
      </w:r>
    </w:p>
    <w:p w:rsidR="00525A55" w:rsidRPr="008A54E2" w:rsidRDefault="00525A55" w:rsidP="008A54E2">
      <w:pPr>
        <w:rPr>
          <w:lang w:val="es-ES"/>
        </w:rPr>
      </w:pPr>
      <w:r w:rsidRPr="00525A55">
        <w:rPr>
          <w:lang w:val="es-ES"/>
        </w:rPr>
        <w:t>García de Cortázar y Ruiz de Aguirre</w:t>
      </w:r>
      <w:r>
        <w:rPr>
          <w:lang w:val="es-ES"/>
        </w:rPr>
        <w:t xml:space="preserve">, </w:t>
      </w:r>
      <w:r w:rsidR="00E90A49">
        <w:rPr>
          <w:lang w:val="es-ES"/>
        </w:rPr>
        <w:t>José  Ángel</w:t>
      </w:r>
      <w:r w:rsidR="00F034C0">
        <w:rPr>
          <w:lang w:val="es-ES"/>
        </w:rPr>
        <w:t xml:space="preserve"> (2014-2015)</w:t>
      </w:r>
      <w:r w:rsidR="00EB76D8">
        <w:rPr>
          <w:lang w:val="es-ES"/>
        </w:rPr>
        <w:t xml:space="preserve"> “</w:t>
      </w:r>
      <w:r w:rsidR="00EB76D8" w:rsidRPr="00EB76D8">
        <w:rPr>
          <w:lang w:val="es-ES"/>
        </w:rPr>
        <w:t>Alfonso X y los poderes del reino</w:t>
      </w:r>
      <w:r w:rsidR="00EB76D8">
        <w:rPr>
          <w:lang w:val="es-ES"/>
        </w:rPr>
        <w:t xml:space="preserve">”. En </w:t>
      </w:r>
      <w:proofErr w:type="spellStart"/>
      <w:r w:rsidRPr="00525A55">
        <w:rPr>
          <w:lang w:val="es-ES"/>
        </w:rPr>
        <w:t>Alcana</w:t>
      </w:r>
      <w:r w:rsidR="00E90A49">
        <w:rPr>
          <w:lang w:val="es-ES"/>
        </w:rPr>
        <w:t>te</w:t>
      </w:r>
      <w:proofErr w:type="spellEnd"/>
      <w:r w:rsidRPr="00525A55">
        <w:rPr>
          <w:lang w:val="es-ES"/>
        </w:rPr>
        <w:t xml:space="preserve">, </w:t>
      </w:r>
      <w:r w:rsidR="00F034C0">
        <w:rPr>
          <w:lang w:val="es-ES"/>
        </w:rPr>
        <w:t xml:space="preserve">Núm. 9, </w:t>
      </w:r>
      <w:r w:rsidR="003207A0">
        <w:rPr>
          <w:lang w:val="es-ES"/>
        </w:rPr>
        <w:t>Cádiz: Universidad de Sevilla</w:t>
      </w:r>
      <w:r w:rsidR="00EB76D8">
        <w:rPr>
          <w:lang w:val="es-ES"/>
        </w:rPr>
        <w:t xml:space="preserve">, </w:t>
      </w:r>
      <w:r w:rsidR="00F034C0">
        <w:rPr>
          <w:lang w:val="es-ES"/>
        </w:rPr>
        <w:t xml:space="preserve">pp.11 – </w:t>
      </w:r>
      <w:r w:rsidR="00F034C0">
        <w:rPr>
          <w:lang w:val="es-ES"/>
        </w:rPr>
        <w:lastRenderedPageBreak/>
        <w:t>40.</w:t>
      </w:r>
      <w:r w:rsidR="00EB76D8">
        <w:rPr>
          <w:lang w:val="es-ES"/>
        </w:rPr>
        <w:t xml:space="preserve"> Disponible en </w:t>
      </w:r>
      <w:hyperlink r:id="rId10" w:history="1">
        <w:r w:rsidR="004123E4" w:rsidRPr="00AC1AEC">
          <w:rPr>
            <w:rStyle w:val="Hipervnculo"/>
            <w:lang w:val="es-ES"/>
          </w:rPr>
          <w:t>https://dialnet.unirioja.es/servlet/articulo?codigo=5176619</w:t>
        </w:r>
      </w:hyperlink>
      <w:r w:rsidR="004123E4">
        <w:rPr>
          <w:lang w:val="es-ES"/>
        </w:rPr>
        <w:t>.  Consultado el 31</w:t>
      </w:r>
      <w:r w:rsidR="004123E4" w:rsidRPr="004123E4">
        <w:rPr>
          <w:lang w:val="es-ES"/>
        </w:rPr>
        <w:t xml:space="preserve"> de mayo de 2019.</w:t>
      </w:r>
    </w:p>
    <w:p w:rsidR="008A54E2" w:rsidRPr="008A54E2" w:rsidRDefault="008A54E2" w:rsidP="008A54E2">
      <w:pPr>
        <w:rPr>
          <w:lang w:val="es-ES"/>
        </w:rPr>
      </w:pPr>
      <w:proofErr w:type="spellStart"/>
      <w:r w:rsidRPr="008A54E2">
        <w:rPr>
          <w:lang w:val="es-ES"/>
        </w:rPr>
        <w:t>Hilliard</w:t>
      </w:r>
      <w:proofErr w:type="spellEnd"/>
      <w:r w:rsidRPr="008A54E2">
        <w:rPr>
          <w:lang w:val="es-ES"/>
        </w:rPr>
        <w:t xml:space="preserve">, Nicholas (c.1575)  </w:t>
      </w:r>
      <w:proofErr w:type="spellStart"/>
      <w:r w:rsidRPr="008A54E2">
        <w:rPr>
          <w:i/>
          <w:iCs/>
          <w:lang w:val="es-ES"/>
        </w:rPr>
        <w:t>The</w:t>
      </w:r>
      <w:proofErr w:type="spellEnd"/>
      <w:r w:rsidRPr="008A54E2">
        <w:rPr>
          <w:i/>
          <w:iCs/>
          <w:lang w:val="es-ES"/>
        </w:rPr>
        <w:t xml:space="preserve"> ‘</w:t>
      </w:r>
      <w:proofErr w:type="spellStart"/>
      <w:r w:rsidRPr="008A54E2">
        <w:rPr>
          <w:i/>
          <w:iCs/>
          <w:lang w:val="es-ES"/>
        </w:rPr>
        <w:t>Pelican</w:t>
      </w:r>
      <w:proofErr w:type="spellEnd"/>
      <w:r w:rsidRPr="008A54E2">
        <w:rPr>
          <w:i/>
          <w:iCs/>
          <w:lang w:val="es-ES"/>
        </w:rPr>
        <w:t xml:space="preserve">’ </w:t>
      </w:r>
      <w:proofErr w:type="spellStart"/>
      <w:r w:rsidRPr="008A54E2">
        <w:rPr>
          <w:i/>
          <w:iCs/>
          <w:lang w:val="es-ES"/>
        </w:rPr>
        <w:t>portrait</w:t>
      </w:r>
      <w:proofErr w:type="spellEnd"/>
      <w:r w:rsidRPr="008A54E2">
        <w:rPr>
          <w:i/>
          <w:iCs/>
          <w:lang w:val="es-ES"/>
        </w:rPr>
        <w:t xml:space="preserve">, </w:t>
      </w:r>
      <w:proofErr w:type="spellStart"/>
      <w:r w:rsidRPr="008A54E2">
        <w:rPr>
          <w:i/>
          <w:iCs/>
          <w:lang w:val="es-ES"/>
        </w:rPr>
        <w:t>Queen</w:t>
      </w:r>
      <w:proofErr w:type="spellEnd"/>
      <w:r w:rsidRPr="008A54E2">
        <w:rPr>
          <w:i/>
          <w:iCs/>
          <w:lang w:val="es-ES"/>
        </w:rPr>
        <w:t xml:space="preserve"> Elizabeth I</w:t>
      </w:r>
      <w:r w:rsidRPr="008A54E2">
        <w:rPr>
          <w:lang w:val="es-ES"/>
        </w:rPr>
        <w:t xml:space="preserve"> (óleo sobre tabla),  Walker Art </w:t>
      </w:r>
      <w:proofErr w:type="spellStart"/>
      <w:r w:rsidRPr="008A54E2">
        <w:rPr>
          <w:lang w:val="es-ES"/>
        </w:rPr>
        <w:t>Gallery</w:t>
      </w:r>
      <w:proofErr w:type="spellEnd"/>
      <w:r w:rsidRPr="008A54E2">
        <w:rPr>
          <w:lang w:val="es-ES"/>
        </w:rPr>
        <w:t xml:space="preserve">, Liverpool. Disponible en http://www.npg.org.uk/research/programmes/making-art-in-tudor-britain/the-phoenix-and-the-pelican-two-portraits-of-elizabeth-i-c.1575.php. Consultado el 29 de </w:t>
      </w:r>
      <w:r w:rsidR="00525A55">
        <w:rPr>
          <w:lang w:val="es-ES"/>
        </w:rPr>
        <w:t>mayo de 2019</w:t>
      </w:r>
      <w:r w:rsidRPr="008A54E2">
        <w:rPr>
          <w:lang w:val="es-ES"/>
        </w:rPr>
        <w:t>.</w:t>
      </w:r>
    </w:p>
    <w:p w:rsidR="008A54E2" w:rsidRDefault="008A54E2" w:rsidP="008A54E2">
      <w:pPr>
        <w:rPr>
          <w:lang w:val="es-ES"/>
        </w:rPr>
      </w:pPr>
      <w:proofErr w:type="spellStart"/>
      <w:r w:rsidRPr="008A54E2">
        <w:rPr>
          <w:lang w:val="es-ES"/>
        </w:rPr>
        <w:t>Marcuello</w:t>
      </w:r>
      <w:proofErr w:type="spellEnd"/>
      <w:r w:rsidRPr="008A54E2">
        <w:rPr>
          <w:lang w:val="es-ES"/>
        </w:rPr>
        <w:t xml:space="preserve">, Pedro (d.1494?) </w:t>
      </w:r>
      <w:r w:rsidRPr="008A54E2">
        <w:rPr>
          <w:i/>
          <w:lang w:val="es-ES"/>
        </w:rPr>
        <w:t>Cancionero</w:t>
      </w:r>
      <w:r w:rsidRPr="008A54E2">
        <w:rPr>
          <w:lang w:val="es-ES"/>
        </w:rPr>
        <w:t>, Blecua, José Manuel (ed.), Zaragoza, España: Institución Fernando el Católico.</w:t>
      </w:r>
    </w:p>
    <w:p w:rsidR="004C5526" w:rsidRPr="004C5526" w:rsidRDefault="00CF14D3" w:rsidP="004C5526">
      <w:pPr>
        <w:rPr>
          <w:lang w:val="es-ES"/>
        </w:rPr>
      </w:pPr>
      <w:proofErr w:type="spellStart"/>
      <w:r>
        <w:rPr>
          <w:lang w:val="es-ES"/>
        </w:rPr>
        <w:t>Morte</w:t>
      </w:r>
      <w:proofErr w:type="spellEnd"/>
      <w:r>
        <w:rPr>
          <w:lang w:val="es-ES"/>
        </w:rPr>
        <w:t xml:space="preserve"> García, Carmen (</w:t>
      </w:r>
      <w:r w:rsidR="004C5526">
        <w:rPr>
          <w:lang w:val="es-ES"/>
        </w:rPr>
        <w:t>2014</w:t>
      </w:r>
      <w:r>
        <w:rPr>
          <w:lang w:val="es-ES"/>
        </w:rPr>
        <w:t>)“La imagen de Fernando el Cató</w:t>
      </w:r>
      <w:r w:rsidRPr="00081866">
        <w:rPr>
          <w:lang w:val="es-ES"/>
        </w:rPr>
        <w:t>lico en el arte:</w:t>
      </w:r>
      <w:r>
        <w:rPr>
          <w:lang w:val="es-ES"/>
        </w:rPr>
        <w:t xml:space="preserve"> </w:t>
      </w:r>
      <w:r w:rsidRPr="00081866">
        <w:rPr>
          <w:lang w:val="es-ES"/>
        </w:rPr>
        <w:t xml:space="preserve">el tiempo vivido y el tiempo recreado </w:t>
      </w:r>
      <w:r w:rsidR="00081866" w:rsidRPr="00081866">
        <w:rPr>
          <w:lang w:val="es-ES"/>
        </w:rPr>
        <w:t>(1452-1700)</w:t>
      </w:r>
      <w:r>
        <w:rPr>
          <w:lang w:val="es-ES"/>
        </w:rPr>
        <w:t>”</w:t>
      </w:r>
      <w:r w:rsidR="00A81F38">
        <w:rPr>
          <w:lang w:val="es-ES"/>
        </w:rPr>
        <w:t xml:space="preserve"> en </w:t>
      </w:r>
      <w:proofErr w:type="spellStart"/>
      <w:r w:rsidR="00A81F38">
        <w:rPr>
          <w:lang w:val="es-ES"/>
        </w:rPr>
        <w:t>Egido</w:t>
      </w:r>
      <w:proofErr w:type="spellEnd"/>
      <w:r w:rsidR="004C5526">
        <w:rPr>
          <w:lang w:val="es-ES"/>
        </w:rPr>
        <w:t xml:space="preserve">, Aurora, </w:t>
      </w:r>
      <w:proofErr w:type="spellStart"/>
      <w:r w:rsidR="004C5526">
        <w:rPr>
          <w:lang w:val="es-ES"/>
        </w:rPr>
        <w:t>Lap</w:t>
      </w:r>
      <w:r w:rsidR="00A81F38">
        <w:rPr>
          <w:lang w:val="es-ES"/>
        </w:rPr>
        <w:t>lana</w:t>
      </w:r>
      <w:proofErr w:type="spellEnd"/>
      <w:r w:rsidR="00A81F38">
        <w:rPr>
          <w:lang w:val="es-ES"/>
        </w:rPr>
        <w:t xml:space="preserve"> Gil, </w:t>
      </w:r>
      <w:r w:rsidR="004C5526">
        <w:rPr>
          <w:lang w:val="es-ES"/>
        </w:rPr>
        <w:t>José Enrique (coord.),</w:t>
      </w:r>
      <w:r w:rsidR="00A81F38">
        <w:rPr>
          <w:lang w:val="es-ES"/>
        </w:rPr>
        <w:t xml:space="preserve"> </w:t>
      </w:r>
      <w:r w:rsidR="00A81F38" w:rsidRPr="004C5526">
        <w:rPr>
          <w:i/>
          <w:lang w:val="es-ES"/>
        </w:rPr>
        <w:t>La imagen de Fernando el Católico en la Historia, la Literatura y el Arte</w:t>
      </w:r>
      <w:r w:rsidR="004C5526">
        <w:rPr>
          <w:lang w:val="es-ES"/>
        </w:rPr>
        <w:t xml:space="preserve">, </w:t>
      </w:r>
      <w:r w:rsidR="004C5526" w:rsidRPr="004C5526">
        <w:rPr>
          <w:lang w:val="es-ES"/>
        </w:rPr>
        <w:t>Zaragoza, España: Institución Fernando el Católico.</w:t>
      </w:r>
    </w:p>
    <w:p w:rsidR="008A54E2" w:rsidRPr="008A54E2" w:rsidRDefault="008A54E2" w:rsidP="008A54E2">
      <w:pPr>
        <w:rPr>
          <w:lang w:val="es-ES"/>
        </w:rPr>
      </w:pPr>
      <w:proofErr w:type="spellStart"/>
      <w:r w:rsidRPr="008A54E2">
        <w:rPr>
          <w:lang w:val="es-ES"/>
        </w:rPr>
        <w:t>Neumeister</w:t>
      </w:r>
      <w:proofErr w:type="spellEnd"/>
      <w:r w:rsidRPr="008A54E2">
        <w:rPr>
          <w:lang w:val="es-ES"/>
        </w:rPr>
        <w:t xml:space="preserve"> Sebastián (1976).  “La fiesta mitológica de Calderón en su contexto histórico (Fieras afemina amor)”. En  </w:t>
      </w:r>
      <w:r w:rsidRPr="008A54E2">
        <w:rPr>
          <w:i/>
          <w:lang w:val="es-ES"/>
        </w:rPr>
        <w:t xml:space="preserve">Hacia Calderón: Tercer coloquio </w:t>
      </w:r>
      <w:proofErr w:type="spellStart"/>
      <w:r w:rsidRPr="008A54E2">
        <w:rPr>
          <w:i/>
          <w:lang w:val="es-ES"/>
        </w:rPr>
        <w:t>Anglogermano</w:t>
      </w:r>
      <w:proofErr w:type="spellEnd"/>
      <w:r w:rsidRPr="008A54E2">
        <w:rPr>
          <w:i/>
          <w:lang w:val="es-ES"/>
        </w:rPr>
        <w:t xml:space="preserve"> 1973</w:t>
      </w:r>
      <w:r w:rsidRPr="008A54E2">
        <w:rPr>
          <w:lang w:val="es-ES"/>
        </w:rPr>
        <w:t xml:space="preserve"> (pp156-170),</w:t>
      </w:r>
      <w:r w:rsidRPr="008A54E2">
        <w:rPr>
          <w:i/>
          <w:lang w:val="es-ES"/>
        </w:rPr>
        <w:t xml:space="preserve"> </w:t>
      </w:r>
      <w:r w:rsidRPr="008A54E2">
        <w:rPr>
          <w:lang w:val="es-ES"/>
        </w:rPr>
        <w:t xml:space="preserve">Hans </w:t>
      </w:r>
      <w:proofErr w:type="spellStart"/>
      <w:r w:rsidRPr="008A54E2">
        <w:rPr>
          <w:lang w:val="es-ES"/>
        </w:rPr>
        <w:t>Flasche</w:t>
      </w:r>
      <w:proofErr w:type="spellEnd"/>
      <w:r w:rsidRPr="008A54E2">
        <w:rPr>
          <w:lang w:val="es-ES"/>
        </w:rPr>
        <w:t xml:space="preserve"> (ed.). </w:t>
      </w:r>
      <w:proofErr w:type="spellStart"/>
      <w:r w:rsidRPr="008A54E2">
        <w:rPr>
          <w:lang w:val="es-ES"/>
        </w:rPr>
        <w:t>Berlin</w:t>
      </w:r>
      <w:proofErr w:type="spellEnd"/>
      <w:r w:rsidRPr="008A54E2">
        <w:rPr>
          <w:lang w:val="es-ES"/>
        </w:rPr>
        <w:t xml:space="preserve"> y Nueva York: Walter de </w:t>
      </w:r>
      <w:proofErr w:type="spellStart"/>
      <w:r w:rsidRPr="008A54E2">
        <w:rPr>
          <w:lang w:val="es-ES"/>
        </w:rPr>
        <w:t>De</w:t>
      </w:r>
      <w:proofErr w:type="spellEnd"/>
      <w:r w:rsidRPr="008A54E2">
        <w:rPr>
          <w:lang w:val="es-ES"/>
        </w:rPr>
        <w:t xml:space="preserve"> </w:t>
      </w:r>
      <w:proofErr w:type="spellStart"/>
      <w:r w:rsidRPr="008A54E2">
        <w:rPr>
          <w:lang w:val="es-ES"/>
        </w:rPr>
        <w:t>Gruyter</w:t>
      </w:r>
      <w:proofErr w:type="spellEnd"/>
      <w:proofErr w:type="gramStart"/>
      <w:r w:rsidRPr="008A54E2">
        <w:rPr>
          <w:lang w:val="es-ES"/>
        </w:rPr>
        <w:t>,.</w:t>
      </w:r>
      <w:proofErr w:type="gramEnd"/>
      <w:r w:rsidRPr="008A54E2">
        <w:rPr>
          <w:lang w:val="es-ES"/>
        </w:rPr>
        <w:t xml:space="preserve"> </w:t>
      </w:r>
    </w:p>
    <w:p w:rsidR="008A54E2" w:rsidRPr="008A54E2" w:rsidRDefault="008A54E2" w:rsidP="008A54E2">
      <w:pPr>
        <w:rPr>
          <w:lang w:val="es-ES"/>
        </w:rPr>
      </w:pPr>
      <w:proofErr w:type="spellStart"/>
      <w:r w:rsidRPr="008A54E2">
        <w:rPr>
          <w:lang w:val="es-ES"/>
        </w:rPr>
        <w:t>Palliser</w:t>
      </w:r>
      <w:proofErr w:type="spellEnd"/>
      <w:r w:rsidRPr="008A54E2">
        <w:rPr>
          <w:lang w:val="es-ES"/>
        </w:rPr>
        <w:t xml:space="preserve">, </w:t>
      </w:r>
      <w:proofErr w:type="spellStart"/>
      <w:r w:rsidRPr="008A54E2">
        <w:rPr>
          <w:lang w:val="es-ES"/>
        </w:rPr>
        <w:t>Bury</w:t>
      </w:r>
      <w:proofErr w:type="spellEnd"/>
      <w:r w:rsidRPr="008A54E2">
        <w:rPr>
          <w:lang w:val="es-ES"/>
        </w:rPr>
        <w:t xml:space="preserve"> (1870) </w:t>
      </w:r>
      <w:proofErr w:type="spellStart"/>
      <w:r w:rsidRPr="008A54E2">
        <w:rPr>
          <w:i/>
          <w:iCs/>
          <w:lang w:val="es-ES"/>
        </w:rPr>
        <w:t>Historic</w:t>
      </w:r>
      <w:proofErr w:type="spellEnd"/>
      <w:r w:rsidRPr="008A54E2">
        <w:rPr>
          <w:i/>
          <w:iCs/>
          <w:lang w:val="es-ES"/>
        </w:rPr>
        <w:t xml:space="preserve"> </w:t>
      </w:r>
      <w:proofErr w:type="spellStart"/>
      <w:r w:rsidRPr="008A54E2">
        <w:rPr>
          <w:i/>
          <w:iCs/>
          <w:lang w:val="es-ES"/>
        </w:rPr>
        <w:t>devices</w:t>
      </w:r>
      <w:proofErr w:type="spellEnd"/>
      <w:r w:rsidRPr="008A54E2">
        <w:rPr>
          <w:i/>
          <w:iCs/>
          <w:lang w:val="es-ES"/>
        </w:rPr>
        <w:t xml:space="preserve">, </w:t>
      </w:r>
      <w:proofErr w:type="spellStart"/>
      <w:r w:rsidRPr="008A54E2">
        <w:rPr>
          <w:i/>
          <w:iCs/>
          <w:lang w:val="es-ES"/>
        </w:rPr>
        <w:t>badges</w:t>
      </w:r>
      <w:proofErr w:type="spellEnd"/>
      <w:r w:rsidRPr="008A54E2">
        <w:rPr>
          <w:i/>
          <w:iCs/>
          <w:lang w:val="es-ES"/>
        </w:rPr>
        <w:t xml:space="preserve">, and </w:t>
      </w:r>
      <w:proofErr w:type="spellStart"/>
      <w:r w:rsidRPr="008A54E2">
        <w:rPr>
          <w:i/>
          <w:iCs/>
          <w:lang w:val="es-ES"/>
        </w:rPr>
        <w:t>war-cries</w:t>
      </w:r>
      <w:proofErr w:type="spellEnd"/>
      <w:r w:rsidRPr="008A54E2">
        <w:rPr>
          <w:lang w:val="es-ES"/>
        </w:rPr>
        <w:t xml:space="preserve">, Londres, Inglaterra: S. </w:t>
      </w:r>
      <w:proofErr w:type="spellStart"/>
      <w:r w:rsidRPr="008A54E2">
        <w:rPr>
          <w:lang w:val="es-ES"/>
        </w:rPr>
        <w:t>Low</w:t>
      </w:r>
      <w:proofErr w:type="spellEnd"/>
      <w:r w:rsidRPr="008A54E2">
        <w:rPr>
          <w:lang w:val="es-ES"/>
        </w:rPr>
        <w:t xml:space="preserve">, son &amp; </w:t>
      </w:r>
      <w:proofErr w:type="spellStart"/>
      <w:r w:rsidRPr="008A54E2">
        <w:rPr>
          <w:lang w:val="es-ES"/>
        </w:rPr>
        <w:t>Marston</w:t>
      </w:r>
      <w:proofErr w:type="spellEnd"/>
      <w:r w:rsidRPr="008A54E2">
        <w:rPr>
          <w:lang w:val="es-ES"/>
        </w:rPr>
        <w:t>, [en línea]. Disponible en https://archive.org/details/cu31924029796939. Consultado el 17 de septiembre de 2015</w:t>
      </w:r>
    </w:p>
    <w:p w:rsidR="008A54E2" w:rsidRPr="008A54E2" w:rsidRDefault="008A54E2" w:rsidP="008A54E2">
      <w:r w:rsidRPr="008A54E2">
        <w:rPr>
          <w:lang w:val="es-ES"/>
        </w:rPr>
        <w:t>Pina, Ruy de (1792) “</w:t>
      </w:r>
      <w:proofErr w:type="spellStart"/>
      <w:r w:rsidRPr="008A54E2">
        <w:rPr>
          <w:lang w:val="es-ES"/>
        </w:rPr>
        <w:t>Chronica</w:t>
      </w:r>
      <w:proofErr w:type="spellEnd"/>
      <w:r w:rsidRPr="008A54E2">
        <w:rPr>
          <w:lang w:val="es-ES"/>
        </w:rPr>
        <w:t xml:space="preserve"> </w:t>
      </w:r>
      <w:proofErr w:type="spellStart"/>
      <w:r w:rsidRPr="008A54E2">
        <w:rPr>
          <w:lang w:val="es-ES"/>
        </w:rPr>
        <w:t>d’el</w:t>
      </w:r>
      <w:proofErr w:type="spellEnd"/>
      <w:r w:rsidRPr="008A54E2">
        <w:rPr>
          <w:lang w:val="es-ES"/>
        </w:rPr>
        <w:t xml:space="preserve"> </w:t>
      </w:r>
      <w:proofErr w:type="spellStart"/>
      <w:r w:rsidRPr="008A54E2">
        <w:rPr>
          <w:lang w:val="es-ES"/>
        </w:rPr>
        <w:t>Rei</w:t>
      </w:r>
      <w:proofErr w:type="spellEnd"/>
      <w:r w:rsidRPr="008A54E2">
        <w:rPr>
          <w:lang w:val="es-ES"/>
        </w:rPr>
        <w:t xml:space="preserve"> </w:t>
      </w:r>
      <w:proofErr w:type="spellStart"/>
      <w:r w:rsidRPr="008A54E2">
        <w:rPr>
          <w:lang w:val="es-ES"/>
        </w:rPr>
        <w:t>Dom</w:t>
      </w:r>
      <w:proofErr w:type="spellEnd"/>
      <w:r w:rsidRPr="008A54E2">
        <w:rPr>
          <w:lang w:val="es-ES"/>
        </w:rPr>
        <w:t xml:space="preserve"> Joao II”,  en </w:t>
      </w:r>
      <w:proofErr w:type="spellStart"/>
      <w:r w:rsidRPr="008A54E2">
        <w:rPr>
          <w:lang w:val="es-ES"/>
        </w:rPr>
        <w:t>Corrêa</w:t>
      </w:r>
      <w:proofErr w:type="spellEnd"/>
      <w:r w:rsidRPr="008A54E2">
        <w:rPr>
          <w:lang w:val="es-ES"/>
        </w:rPr>
        <w:t xml:space="preserve"> da Serra, José (ed.)  </w:t>
      </w:r>
      <w:proofErr w:type="spellStart"/>
      <w:r w:rsidRPr="008A54E2">
        <w:rPr>
          <w:i/>
          <w:lang w:val="es-ES"/>
        </w:rPr>
        <w:t>Collecçaô</w:t>
      </w:r>
      <w:proofErr w:type="spellEnd"/>
      <w:r w:rsidRPr="008A54E2">
        <w:rPr>
          <w:i/>
          <w:lang w:val="es-ES"/>
        </w:rPr>
        <w:t xml:space="preserve"> de </w:t>
      </w:r>
      <w:proofErr w:type="spellStart"/>
      <w:r w:rsidRPr="008A54E2">
        <w:rPr>
          <w:i/>
          <w:lang w:val="es-ES"/>
        </w:rPr>
        <w:t>livros</w:t>
      </w:r>
      <w:proofErr w:type="spellEnd"/>
      <w:r w:rsidRPr="008A54E2">
        <w:rPr>
          <w:i/>
          <w:lang w:val="es-ES"/>
        </w:rPr>
        <w:t xml:space="preserve"> </w:t>
      </w:r>
      <w:proofErr w:type="spellStart"/>
      <w:r w:rsidRPr="008A54E2">
        <w:rPr>
          <w:i/>
          <w:lang w:val="es-ES"/>
        </w:rPr>
        <w:t>ineditos</w:t>
      </w:r>
      <w:proofErr w:type="spellEnd"/>
      <w:r w:rsidRPr="008A54E2">
        <w:rPr>
          <w:i/>
          <w:lang w:val="es-ES"/>
        </w:rPr>
        <w:t xml:space="preserve"> de historia </w:t>
      </w:r>
      <w:proofErr w:type="spellStart"/>
      <w:r w:rsidRPr="008A54E2">
        <w:rPr>
          <w:i/>
          <w:lang w:val="es-ES"/>
        </w:rPr>
        <w:t>portugueza</w:t>
      </w:r>
      <w:proofErr w:type="spellEnd"/>
      <w:r w:rsidRPr="008A54E2">
        <w:rPr>
          <w:i/>
          <w:lang w:val="es-ES"/>
        </w:rPr>
        <w:t xml:space="preserve"> dos reinados de d. </w:t>
      </w:r>
      <w:proofErr w:type="spellStart"/>
      <w:r w:rsidRPr="008A54E2">
        <w:rPr>
          <w:i/>
          <w:lang w:val="es-ES"/>
        </w:rPr>
        <w:t>Joaô</w:t>
      </w:r>
      <w:proofErr w:type="spellEnd"/>
      <w:r w:rsidRPr="008A54E2">
        <w:rPr>
          <w:i/>
          <w:lang w:val="es-ES"/>
        </w:rPr>
        <w:t xml:space="preserve"> I., D. Duarte, D. </w:t>
      </w:r>
      <w:proofErr w:type="spellStart"/>
      <w:r w:rsidRPr="008A54E2">
        <w:rPr>
          <w:i/>
          <w:lang w:val="es-ES"/>
        </w:rPr>
        <w:t>Affonso</w:t>
      </w:r>
      <w:proofErr w:type="spellEnd"/>
      <w:r w:rsidRPr="008A54E2">
        <w:rPr>
          <w:i/>
          <w:lang w:val="es-ES"/>
        </w:rPr>
        <w:t xml:space="preserve"> V., e D. </w:t>
      </w:r>
      <w:proofErr w:type="spellStart"/>
      <w:r w:rsidRPr="008A54E2">
        <w:rPr>
          <w:i/>
          <w:lang w:val="es-ES"/>
        </w:rPr>
        <w:t>Joaô</w:t>
      </w:r>
      <w:proofErr w:type="spellEnd"/>
      <w:r w:rsidRPr="008A54E2">
        <w:rPr>
          <w:i/>
          <w:lang w:val="es-ES"/>
        </w:rPr>
        <w:t xml:space="preserve"> II</w:t>
      </w:r>
      <w:r w:rsidRPr="008A54E2">
        <w:rPr>
          <w:lang w:val="es-ES"/>
        </w:rPr>
        <w:t xml:space="preserve"> (Tomo 2) (pp. 5-212). Lisboa, Portugal: Academia Real das </w:t>
      </w:r>
      <w:proofErr w:type="spellStart"/>
      <w:r w:rsidRPr="008A54E2">
        <w:rPr>
          <w:lang w:val="es-ES"/>
        </w:rPr>
        <w:t>Sciencias</w:t>
      </w:r>
      <w:proofErr w:type="spellEnd"/>
      <w:r w:rsidRPr="008A54E2">
        <w:rPr>
          <w:lang w:val="es-ES"/>
        </w:rPr>
        <w:t xml:space="preserve"> de Lisboa [en línea]. Disponible en https://play.google.com/books/reader?id=zAptJNjELGoC&amp;printsec=frontcover&amp;output=reader&amp;hl=es&amp;pg=GBS.PP7. C</w:t>
      </w:r>
      <w:r w:rsidR="00D11727">
        <w:rPr>
          <w:lang w:val="es-ES"/>
        </w:rPr>
        <w:t>onsultado el 21 de abril de 2019</w:t>
      </w:r>
    </w:p>
    <w:p w:rsidR="008A54E2" w:rsidRPr="008A54E2" w:rsidRDefault="008A54E2" w:rsidP="008A54E2">
      <w:r w:rsidRPr="008A54E2">
        <w:t xml:space="preserve">Plinio Segundo, Cayo (2003) </w:t>
      </w:r>
      <w:r w:rsidRPr="008A54E2">
        <w:rPr>
          <w:i/>
          <w:iCs/>
        </w:rPr>
        <w:t xml:space="preserve">Historia natural. Libros II-IV, </w:t>
      </w:r>
      <w:proofErr w:type="spellStart"/>
      <w:r w:rsidRPr="008A54E2">
        <w:t>Moure</w:t>
      </w:r>
      <w:proofErr w:type="spellEnd"/>
      <w:r w:rsidRPr="008A54E2">
        <w:t xml:space="preserve"> Casas, Ana María, (coord.) Madrid, España: Gredos.</w:t>
      </w:r>
    </w:p>
    <w:p w:rsidR="007242AD" w:rsidRDefault="008316F3" w:rsidP="00264843">
      <w:r w:rsidRPr="008316F3">
        <w:rPr>
          <w:bCs/>
          <w:iCs/>
        </w:rPr>
        <w:t xml:space="preserve">Puyol, J. (2010). </w:t>
      </w:r>
      <w:r w:rsidRPr="008316F3">
        <w:rPr>
          <w:bCs/>
          <w:i/>
          <w:iCs/>
        </w:rPr>
        <w:t xml:space="preserve">Jerónimo </w:t>
      </w:r>
      <w:proofErr w:type="spellStart"/>
      <w:r w:rsidRPr="008316F3">
        <w:rPr>
          <w:bCs/>
          <w:i/>
          <w:iCs/>
        </w:rPr>
        <w:t>Münzer</w:t>
      </w:r>
      <w:proofErr w:type="spellEnd"/>
      <w:r w:rsidRPr="008316F3">
        <w:rPr>
          <w:bCs/>
          <w:i/>
          <w:iCs/>
        </w:rPr>
        <w:t>. Viaje por España y Portugal en los años 1494 y 1495.</w:t>
      </w:r>
      <w:r w:rsidRPr="008316F3">
        <w:rPr>
          <w:bCs/>
          <w:iCs/>
        </w:rPr>
        <w:t xml:space="preserve"> </w:t>
      </w:r>
      <w:r w:rsidRPr="008316F3">
        <w:rPr>
          <w:bCs/>
          <w:i/>
          <w:iCs/>
        </w:rPr>
        <w:t>(Conclusión)</w:t>
      </w:r>
      <w:r w:rsidRPr="008316F3">
        <w:rPr>
          <w:bCs/>
          <w:iCs/>
        </w:rPr>
        <w:t>.</w:t>
      </w:r>
      <w:r w:rsidRPr="008316F3">
        <w:t xml:space="preserve"> </w:t>
      </w:r>
      <w:r w:rsidRPr="008316F3">
        <w:rPr>
          <w:bCs/>
          <w:iCs/>
        </w:rPr>
        <w:t>Alicante: Biblioteca Virtual Miguel de Cervantes</w:t>
      </w:r>
      <w:r w:rsidR="00D775BD">
        <w:rPr>
          <w:bCs/>
          <w:iCs/>
        </w:rPr>
        <w:t>.</w:t>
      </w:r>
      <w:r>
        <w:rPr>
          <w:bCs/>
          <w:iCs/>
        </w:rPr>
        <w:t xml:space="preserve"> </w:t>
      </w:r>
      <w:r w:rsidRPr="008316F3">
        <w:rPr>
          <w:bCs/>
          <w:iCs/>
        </w:rPr>
        <w:t xml:space="preserve">  </w:t>
      </w:r>
      <w:r>
        <w:rPr>
          <w:bCs/>
          <w:iCs/>
        </w:rPr>
        <w:t xml:space="preserve">Disponible en </w:t>
      </w:r>
      <w:r w:rsidRPr="008316F3">
        <w:rPr>
          <w:bCs/>
          <w:iCs/>
        </w:rPr>
        <w:t xml:space="preserve">  </w:t>
      </w:r>
      <w:hyperlink r:id="rId11" w:history="1">
        <w:r w:rsidRPr="008316F3">
          <w:rPr>
            <w:rStyle w:val="Hipervnculo"/>
            <w:bCs/>
            <w:iCs/>
          </w:rPr>
          <w:t>http://www.cervantesvirtual.com/obra/jeronimo-munzer-viaje-por-espana-y-portugal-en-los-anos-1494-y-1495-conclusion/</w:t>
        </w:r>
      </w:hyperlink>
      <w:r w:rsidRPr="008316F3">
        <w:rPr>
          <w:bCs/>
          <w:iCs/>
        </w:rPr>
        <w:t xml:space="preserve">. </w:t>
      </w:r>
      <w:r>
        <w:rPr>
          <w:bCs/>
          <w:iCs/>
        </w:rPr>
        <w:t>C</w:t>
      </w:r>
      <w:r w:rsidRPr="008316F3">
        <w:rPr>
          <w:bCs/>
          <w:iCs/>
        </w:rPr>
        <w:t>onsulta</w:t>
      </w:r>
      <w:r>
        <w:rPr>
          <w:bCs/>
          <w:iCs/>
        </w:rPr>
        <w:t xml:space="preserve">do el </w:t>
      </w:r>
      <w:r w:rsidRPr="008316F3">
        <w:rPr>
          <w:bCs/>
          <w:iCs/>
        </w:rPr>
        <w:t xml:space="preserve"> </w:t>
      </w:r>
      <w:r w:rsidR="00D775BD">
        <w:rPr>
          <w:bCs/>
          <w:iCs/>
        </w:rPr>
        <w:t>23</w:t>
      </w:r>
      <w:r w:rsidRPr="008316F3">
        <w:rPr>
          <w:bCs/>
          <w:iCs/>
        </w:rPr>
        <w:t xml:space="preserve"> de </w:t>
      </w:r>
      <w:r>
        <w:rPr>
          <w:bCs/>
          <w:iCs/>
        </w:rPr>
        <w:t>junio</w:t>
      </w:r>
      <w:r w:rsidRPr="008316F3">
        <w:rPr>
          <w:bCs/>
          <w:iCs/>
        </w:rPr>
        <w:t xml:space="preserve"> de 201</w:t>
      </w:r>
      <w:r>
        <w:rPr>
          <w:bCs/>
          <w:iCs/>
        </w:rPr>
        <w:t>9</w:t>
      </w:r>
      <w:r w:rsidRPr="008316F3">
        <w:rPr>
          <w:bCs/>
          <w:iCs/>
        </w:rPr>
        <w:t>.</w:t>
      </w:r>
      <w:bookmarkStart w:id="0" w:name="_GoBack"/>
      <w:bookmarkEnd w:id="0"/>
    </w:p>
    <w:sectPr w:rsidR="007242AD" w:rsidSect="007242AD">
      <w:endnotePr>
        <w:numFmt w:val="decimal"/>
      </w:endnotePr>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E37" w:rsidRDefault="00F50E37" w:rsidP="00D401EC">
      <w:pPr>
        <w:spacing w:line="240" w:lineRule="auto"/>
      </w:pPr>
      <w:r>
        <w:separator/>
      </w:r>
    </w:p>
  </w:endnote>
  <w:endnote w:type="continuationSeparator" w:id="0">
    <w:p w:rsidR="00F50E37" w:rsidRDefault="00F50E37" w:rsidP="00D40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Junico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E37" w:rsidRDefault="00F50E37" w:rsidP="00D401EC">
      <w:pPr>
        <w:spacing w:line="240" w:lineRule="auto"/>
      </w:pPr>
      <w:r>
        <w:separator/>
      </w:r>
    </w:p>
  </w:footnote>
  <w:footnote w:type="continuationSeparator" w:id="0">
    <w:p w:rsidR="00F50E37" w:rsidRDefault="00F50E37" w:rsidP="00D401EC">
      <w:pPr>
        <w:spacing w:line="240" w:lineRule="auto"/>
      </w:pPr>
      <w:r>
        <w:continuationSeparator/>
      </w:r>
    </w:p>
  </w:footnote>
  <w:footnote w:id="1">
    <w:p w:rsidR="00236E29" w:rsidRPr="00236E29" w:rsidRDefault="00236E29">
      <w:pPr>
        <w:pStyle w:val="Textonotapie"/>
        <w:rPr>
          <w:lang w:val="es-AR"/>
        </w:rPr>
      </w:pPr>
      <w:r>
        <w:rPr>
          <w:rStyle w:val="Refdenotaalpie"/>
        </w:rPr>
        <w:footnoteRef/>
      </w:r>
      <w:r>
        <w:t xml:space="preserve"> </w:t>
      </w:r>
      <w:r w:rsidR="00664877">
        <w:rPr>
          <w:sz w:val="18"/>
          <w:szCs w:val="18"/>
          <w:lang w:val="es-AR"/>
        </w:rPr>
        <w:t>C</w:t>
      </w:r>
      <w:r w:rsidRPr="00664877">
        <w:rPr>
          <w:sz w:val="18"/>
          <w:szCs w:val="18"/>
          <w:lang w:val="es-AR"/>
        </w:rPr>
        <w:t xml:space="preserve">omo </w:t>
      </w:r>
      <w:proofErr w:type="spellStart"/>
      <w:r w:rsidRPr="00664877">
        <w:rPr>
          <w:sz w:val="18"/>
          <w:szCs w:val="18"/>
          <w:lang w:val="es-AR"/>
        </w:rPr>
        <w:t>Nicolas</w:t>
      </w:r>
      <w:proofErr w:type="spellEnd"/>
      <w:r w:rsidRPr="00664877">
        <w:rPr>
          <w:sz w:val="18"/>
          <w:szCs w:val="18"/>
          <w:lang w:val="es-AR"/>
        </w:rPr>
        <w:t xml:space="preserve"> </w:t>
      </w:r>
      <w:proofErr w:type="spellStart"/>
      <w:r w:rsidRPr="00664877">
        <w:rPr>
          <w:sz w:val="18"/>
          <w:szCs w:val="18"/>
          <w:lang w:val="es-AR"/>
        </w:rPr>
        <w:t>Reusner</w:t>
      </w:r>
      <w:proofErr w:type="spellEnd"/>
      <w:r w:rsidRPr="00664877">
        <w:rPr>
          <w:sz w:val="18"/>
          <w:szCs w:val="18"/>
          <w:lang w:val="es-AR"/>
        </w:rPr>
        <w:t xml:space="preserve">, en </w:t>
      </w:r>
      <w:proofErr w:type="spellStart"/>
      <w:r w:rsidRPr="00664877">
        <w:rPr>
          <w:i/>
          <w:iCs/>
          <w:sz w:val="18"/>
          <w:szCs w:val="18"/>
          <w:lang w:val="es-AR"/>
        </w:rPr>
        <w:t>Emblemata</w:t>
      </w:r>
      <w:proofErr w:type="spellEnd"/>
      <w:r w:rsidRPr="00664877">
        <w:rPr>
          <w:sz w:val="18"/>
          <w:szCs w:val="18"/>
          <w:lang w:val="es-AR"/>
        </w:rPr>
        <w:t xml:space="preserve"> (L II, núm. 14), en 1581 (figura 3) o </w:t>
      </w:r>
      <w:proofErr w:type="spellStart"/>
      <w:r w:rsidRPr="00664877">
        <w:rPr>
          <w:sz w:val="18"/>
          <w:szCs w:val="18"/>
          <w:lang w:val="es-AR"/>
        </w:rPr>
        <w:t>Camerarius</w:t>
      </w:r>
      <w:proofErr w:type="spellEnd"/>
      <w:r w:rsidRPr="00664877">
        <w:rPr>
          <w:sz w:val="18"/>
          <w:szCs w:val="18"/>
          <w:lang w:val="es-AR"/>
        </w:rPr>
        <w:t xml:space="preserve">, en la tercera centuria de su obra, en 1596 (E. XXXVII: 37) o Francisco Gómez de la Reguera, </w:t>
      </w:r>
      <w:r w:rsidRPr="00664877">
        <w:rPr>
          <w:i/>
          <w:iCs/>
          <w:sz w:val="18"/>
          <w:szCs w:val="18"/>
          <w:lang w:val="es-AR"/>
        </w:rPr>
        <w:t>Empresas de los Reyes de Castilla y de León</w:t>
      </w:r>
      <w:r w:rsidRPr="00664877">
        <w:rPr>
          <w:sz w:val="18"/>
          <w:szCs w:val="18"/>
          <w:lang w:val="es-AR"/>
        </w:rPr>
        <w:t xml:space="preserve">, o </w:t>
      </w:r>
      <w:proofErr w:type="spellStart"/>
      <w:r w:rsidRPr="00664877">
        <w:rPr>
          <w:sz w:val="18"/>
          <w:szCs w:val="18"/>
          <w:lang w:val="es-AR"/>
        </w:rPr>
        <w:t>Typotius</w:t>
      </w:r>
      <w:proofErr w:type="spellEnd"/>
      <w:r w:rsidRPr="00664877">
        <w:rPr>
          <w:sz w:val="18"/>
          <w:szCs w:val="18"/>
          <w:lang w:val="es-AR"/>
        </w:rPr>
        <w:t xml:space="preserve"> en su </w:t>
      </w:r>
      <w:proofErr w:type="spellStart"/>
      <w:r w:rsidRPr="00664877">
        <w:rPr>
          <w:i/>
          <w:iCs/>
          <w:sz w:val="18"/>
          <w:szCs w:val="18"/>
          <w:lang w:val="es-AR"/>
        </w:rPr>
        <w:t>Symbola</w:t>
      </w:r>
      <w:proofErr w:type="spellEnd"/>
      <w:r w:rsidRPr="00664877">
        <w:rPr>
          <w:i/>
          <w:iCs/>
          <w:sz w:val="18"/>
          <w:szCs w:val="18"/>
          <w:lang w:val="es-AR"/>
        </w:rPr>
        <w:t xml:space="preserve"> divina et humana</w:t>
      </w:r>
      <w:r w:rsidRPr="00664877">
        <w:rPr>
          <w:sz w:val="18"/>
          <w:szCs w:val="18"/>
          <w:lang w:val="es-AR"/>
        </w:rPr>
        <w:t>, en el  siglo XVII (</w:t>
      </w:r>
      <w:proofErr w:type="spellStart"/>
      <w:r w:rsidRPr="00664877">
        <w:rPr>
          <w:sz w:val="18"/>
          <w:szCs w:val="18"/>
          <w:lang w:val="es-AR"/>
        </w:rPr>
        <w:t>Amengual</w:t>
      </w:r>
      <w:proofErr w:type="spellEnd"/>
      <w:r w:rsidRPr="00664877">
        <w:rPr>
          <w:sz w:val="18"/>
          <w:szCs w:val="18"/>
          <w:lang w:val="es-AR"/>
        </w:rPr>
        <w:t xml:space="preserve"> Mira, 57).</w:t>
      </w:r>
    </w:p>
  </w:footnote>
  <w:footnote w:id="2">
    <w:p w:rsidR="0029177A" w:rsidRPr="00953D57" w:rsidRDefault="0029177A">
      <w:pPr>
        <w:pStyle w:val="Textonotapie"/>
        <w:rPr>
          <w:sz w:val="18"/>
          <w:szCs w:val="18"/>
        </w:rPr>
      </w:pPr>
      <w:r>
        <w:rPr>
          <w:rStyle w:val="Refdenotaalpie"/>
        </w:rPr>
        <w:footnoteRef/>
      </w:r>
      <w:r>
        <w:t xml:space="preserve"> </w:t>
      </w:r>
      <w:r w:rsidRPr="00953D57">
        <w:rPr>
          <w:sz w:val="18"/>
          <w:szCs w:val="18"/>
        </w:rPr>
        <w:t xml:space="preserve">Al respecto afirma Casas </w:t>
      </w:r>
      <w:proofErr w:type="spellStart"/>
      <w:r w:rsidRPr="00953D57">
        <w:rPr>
          <w:sz w:val="18"/>
          <w:szCs w:val="18"/>
        </w:rPr>
        <w:t>Regall</w:t>
      </w:r>
      <w:proofErr w:type="spellEnd"/>
      <w:r w:rsidRPr="00953D57">
        <w:rPr>
          <w:sz w:val="18"/>
          <w:szCs w:val="18"/>
        </w:rPr>
        <w:t xml:space="preserve"> (2013) “Cabe advertir, sin embargo, que muchas de estas divisas supuestamente antiguas según Gómez [se refiere a  Francisco Gómez de la Reguera y su </w:t>
      </w:r>
      <w:r w:rsidRPr="00953D57">
        <w:rPr>
          <w:i/>
          <w:sz w:val="18"/>
          <w:szCs w:val="18"/>
        </w:rPr>
        <w:t>Empresas de los Reyes de Castilla y de León</w:t>
      </w:r>
      <w:r w:rsidRPr="00953D57">
        <w:rPr>
          <w:sz w:val="18"/>
          <w:szCs w:val="18"/>
        </w:rPr>
        <w:t xml:space="preserve">] deben de ser apócrifas, pues, de acuerdo con los repertorios conservados, no han dejado trazas en armoriales, monedas ni sellos del Medievo. De este modo, de las tres empresas que esta obra atribuye a Alfonso el Sabio, dos no tienen documentación </w:t>
      </w:r>
      <w:proofErr w:type="spellStart"/>
      <w:r w:rsidRPr="00953D57">
        <w:rPr>
          <w:sz w:val="18"/>
          <w:szCs w:val="18"/>
        </w:rPr>
        <w:t>hispanomedieval</w:t>
      </w:r>
      <w:proofErr w:type="spellEnd"/>
      <w:r w:rsidRPr="00953D57">
        <w:rPr>
          <w:sz w:val="18"/>
          <w:szCs w:val="18"/>
        </w:rPr>
        <w:t xml:space="preserve"> —n° VI (un libro coronado) y VII (una  carabela con el lema </w:t>
      </w:r>
      <w:r w:rsidRPr="00953D57">
        <w:rPr>
          <w:i/>
          <w:sz w:val="18"/>
          <w:szCs w:val="18"/>
        </w:rPr>
        <w:t>Buena guía</w:t>
      </w:r>
      <w:r w:rsidRPr="00953D57">
        <w:rPr>
          <w:sz w:val="18"/>
          <w:szCs w:val="18"/>
        </w:rPr>
        <w:t xml:space="preserve">)— y la otra —n° II (un pelícano alimenta a sus polluelos con su propia sangre, bajo el lema </w:t>
      </w:r>
      <w:r w:rsidRPr="00953D57">
        <w:rPr>
          <w:i/>
          <w:sz w:val="18"/>
          <w:szCs w:val="18"/>
        </w:rPr>
        <w:t xml:space="preserve">Pro </w:t>
      </w:r>
      <w:proofErr w:type="spellStart"/>
      <w:r w:rsidRPr="00953D57">
        <w:rPr>
          <w:i/>
          <w:sz w:val="18"/>
          <w:szCs w:val="18"/>
        </w:rPr>
        <w:t>lege</w:t>
      </w:r>
      <w:proofErr w:type="spellEnd"/>
      <w:r w:rsidRPr="00953D57">
        <w:rPr>
          <w:i/>
          <w:sz w:val="18"/>
          <w:szCs w:val="18"/>
        </w:rPr>
        <w:t xml:space="preserve"> et pro </w:t>
      </w:r>
      <w:proofErr w:type="spellStart"/>
      <w:r w:rsidRPr="00953D57">
        <w:rPr>
          <w:i/>
          <w:sz w:val="18"/>
          <w:szCs w:val="18"/>
        </w:rPr>
        <w:t>grege</w:t>
      </w:r>
      <w:proofErr w:type="spellEnd"/>
      <w:r w:rsidRPr="00953D57">
        <w:rPr>
          <w:sz w:val="18"/>
          <w:szCs w:val="18"/>
        </w:rPr>
        <w:t xml:space="preserve">)— fue utilizada más bien por Juan II de Portugal en el siglo XV (Menéndez Pidal de </w:t>
      </w:r>
      <w:proofErr w:type="spellStart"/>
      <w:r w:rsidRPr="00953D57">
        <w:rPr>
          <w:sz w:val="18"/>
          <w:szCs w:val="18"/>
        </w:rPr>
        <w:t>Navascués</w:t>
      </w:r>
      <w:proofErr w:type="spellEnd"/>
      <w:r w:rsidRPr="00953D57">
        <w:rPr>
          <w:sz w:val="18"/>
          <w:szCs w:val="18"/>
        </w:rPr>
        <w:t xml:space="preserve">, </w:t>
      </w:r>
      <w:r w:rsidRPr="00953D57">
        <w:rPr>
          <w:i/>
          <w:sz w:val="18"/>
          <w:szCs w:val="18"/>
        </w:rPr>
        <w:t>Heráldica</w:t>
      </w:r>
      <w:r w:rsidRPr="00953D57">
        <w:rPr>
          <w:sz w:val="18"/>
          <w:szCs w:val="18"/>
        </w:rPr>
        <w:t xml:space="preserve">, pág. 110)” ( p.91). En relación a Juan II y su divisa y lema en portugués, véase la </w:t>
      </w:r>
      <w:proofErr w:type="spellStart"/>
      <w:r w:rsidRPr="00953D57">
        <w:rPr>
          <w:i/>
          <w:sz w:val="18"/>
          <w:szCs w:val="18"/>
        </w:rPr>
        <w:t>Chronica</w:t>
      </w:r>
      <w:proofErr w:type="spellEnd"/>
      <w:r w:rsidRPr="00953D57">
        <w:rPr>
          <w:i/>
          <w:sz w:val="18"/>
          <w:szCs w:val="18"/>
        </w:rPr>
        <w:t xml:space="preserve"> </w:t>
      </w:r>
      <w:proofErr w:type="spellStart"/>
      <w:r w:rsidRPr="00953D57">
        <w:rPr>
          <w:i/>
          <w:sz w:val="18"/>
          <w:szCs w:val="18"/>
        </w:rPr>
        <w:t>d’el</w:t>
      </w:r>
      <w:proofErr w:type="spellEnd"/>
      <w:r w:rsidRPr="00953D57">
        <w:rPr>
          <w:i/>
          <w:sz w:val="18"/>
          <w:szCs w:val="18"/>
        </w:rPr>
        <w:t xml:space="preserve"> </w:t>
      </w:r>
      <w:proofErr w:type="spellStart"/>
      <w:r w:rsidRPr="00953D57">
        <w:rPr>
          <w:i/>
          <w:sz w:val="18"/>
          <w:szCs w:val="18"/>
        </w:rPr>
        <w:t>Rei</w:t>
      </w:r>
      <w:proofErr w:type="spellEnd"/>
      <w:r w:rsidRPr="00953D57">
        <w:rPr>
          <w:i/>
          <w:sz w:val="18"/>
          <w:szCs w:val="18"/>
        </w:rPr>
        <w:t xml:space="preserve"> </w:t>
      </w:r>
      <w:proofErr w:type="spellStart"/>
      <w:r w:rsidRPr="00953D57">
        <w:rPr>
          <w:i/>
          <w:sz w:val="18"/>
          <w:szCs w:val="18"/>
        </w:rPr>
        <w:t>Dom</w:t>
      </w:r>
      <w:proofErr w:type="spellEnd"/>
      <w:r w:rsidRPr="00953D57">
        <w:rPr>
          <w:i/>
          <w:sz w:val="18"/>
          <w:szCs w:val="18"/>
        </w:rPr>
        <w:t xml:space="preserve"> Joao II</w:t>
      </w:r>
      <w:r w:rsidRPr="00953D57">
        <w:rPr>
          <w:sz w:val="18"/>
          <w:szCs w:val="18"/>
        </w:rPr>
        <w:t xml:space="preserve">  (Pina, 1792, p.65).</w:t>
      </w:r>
    </w:p>
  </w:footnote>
  <w:footnote w:id="3">
    <w:p w:rsidR="0029177A" w:rsidRPr="00953D57" w:rsidRDefault="0029177A">
      <w:pPr>
        <w:pStyle w:val="Textonotapie"/>
        <w:rPr>
          <w:sz w:val="18"/>
          <w:szCs w:val="18"/>
        </w:rPr>
      </w:pPr>
      <w:r>
        <w:rPr>
          <w:rStyle w:val="Refdenotaalpie"/>
        </w:rPr>
        <w:footnoteRef/>
      </w:r>
      <w:r>
        <w:t xml:space="preserve"> </w:t>
      </w:r>
      <w:r w:rsidRPr="00953D57">
        <w:rPr>
          <w:sz w:val="18"/>
          <w:szCs w:val="18"/>
        </w:rPr>
        <w:t xml:space="preserve">Para más información sobre el pelícano y su función en la construcción de la imagen  de Fernando el Católico, véase </w:t>
      </w:r>
      <w:proofErr w:type="spellStart"/>
      <w:r w:rsidRPr="00953D57">
        <w:rPr>
          <w:sz w:val="18"/>
          <w:szCs w:val="18"/>
        </w:rPr>
        <w:t>Deyermond</w:t>
      </w:r>
      <w:proofErr w:type="spellEnd"/>
      <w:r w:rsidRPr="00953D57">
        <w:rPr>
          <w:sz w:val="18"/>
          <w:szCs w:val="18"/>
        </w:rPr>
        <w:t xml:space="preserve"> (2011) y Corral Lafuente (2009, p.41)</w:t>
      </w:r>
    </w:p>
  </w:footnote>
  <w:footnote w:id="4">
    <w:p w:rsidR="0029177A" w:rsidRPr="002F5C0D" w:rsidRDefault="0029177A" w:rsidP="00D401EC">
      <w:pPr>
        <w:pStyle w:val="Textonotapie"/>
        <w:rPr>
          <w:sz w:val="18"/>
          <w:szCs w:val="18"/>
        </w:rPr>
      </w:pPr>
      <w:r w:rsidRPr="002F5C0D">
        <w:rPr>
          <w:sz w:val="18"/>
          <w:szCs w:val="18"/>
        </w:rPr>
        <w:footnoteRef/>
      </w:r>
      <w:r w:rsidRPr="00264843">
        <w:rPr>
          <w:rFonts w:cs="Arial"/>
          <w:sz w:val="18"/>
          <w:szCs w:val="18"/>
          <w:lang w:val="en-US"/>
        </w:rPr>
        <w:t xml:space="preserve"> Palliser, Bury, </w:t>
      </w:r>
      <w:r w:rsidRPr="00264843">
        <w:rPr>
          <w:rFonts w:cs="Arial"/>
          <w:i/>
          <w:iCs/>
          <w:sz w:val="18"/>
          <w:szCs w:val="18"/>
          <w:lang w:val="en-US"/>
        </w:rPr>
        <w:t>Historic devices, badges, and war-cries,</w:t>
      </w:r>
      <w:r w:rsidRPr="00264843">
        <w:rPr>
          <w:rFonts w:cs="Arial"/>
          <w:sz w:val="18"/>
          <w:szCs w:val="18"/>
          <w:lang w:val="en-US"/>
        </w:rPr>
        <w:t xml:space="preserve"> London, S. Low, son &amp; Marston, 1870, edición digital, p.205. </w:t>
      </w:r>
      <w:r w:rsidRPr="002F5C0D">
        <w:rPr>
          <w:rFonts w:cs="Arial"/>
          <w:sz w:val="18"/>
          <w:szCs w:val="18"/>
        </w:rPr>
        <w:t xml:space="preserve">Disponible en https://archive.org/details/cu31924029796939. Consultado el 17 de </w:t>
      </w:r>
      <w:r>
        <w:rPr>
          <w:rFonts w:cs="Arial"/>
          <w:sz w:val="18"/>
          <w:szCs w:val="18"/>
        </w:rPr>
        <w:t>junio de 2019</w:t>
      </w:r>
    </w:p>
  </w:footnote>
  <w:footnote w:id="5">
    <w:p w:rsidR="0029177A" w:rsidRPr="002F5C0D" w:rsidRDefault="0029177A" w:rsidP="00D401EC">
      <w:pPr>
        <w:pStyle w:val="Textonotapie"/>
        <w:rPr>
          <w:sz w:val="18"/>
          <w:szCs w:val="18"/>
        </w:rPr>
      </w:pPr>
      <w:r w:rsidRPr="002F5C0D">
        <w:rPr>
          <w:sz w:val="18"/>
          <w:szCs w:val="18"/>
        </w:rPr>
        <w:footnoteRef/>
      </w:r>
      <w:r>
        <w:rPr>
          <w:rFonts w:cs="Arial"/>
          <w:sz w:val="18"/>
          <w:szCs w:val="18"/>
        </w:rPr>
        <w:t xml:space="preserve"> </w:t>
      </w:r>
      <w:r w:rsidRPr="002F5C0D">
        <w:rPr>
          <w:rFonts w:cs="Arial"/>
          <w:sz w:val="18"/>
          <w:szCs w:val="18"/>
        </w:rPr>
        <w:t xml:space="preserve">Según Mar </w:t>
      </w:r>
      <w:proofErr w:type="spellStart"/>
      <w:r w:rsidRPr="002F5C0D">
        <w:rPr>
          <w:rFonts w:cs="Arial"/>
          <w:sz w:val="18"/>
          <w:szCs w:val="18"/>
        </w:rPr>
        <w:t>Amengual</w:t>
      </w:r>
      <w:proofErr w:type="spellEnd"/>
      <w:r w:rsidRPr="002F5C0D">
        <w:rPr>
          <w:rFonts w:cs="Arial"/>
          <w:sz w:val="18"/>
          <w:szCs w:val="18"/>
        </w:rPr>
        <w:t xml:space="preserve"> Mira, la misma figura sería utilizada por otros autores sin ser atribuida a Alfonso X, como podemos ver, por ejemplo, en las empresas de </w:t>
      </w:r>
      <w:proofErr w:type="spellStart"/>
      <w:r w:rsidRPr="002F5C0D">
        <w:rPr>
          <w:rFonts w:cs="Arial"/>
          <w:sz w:val="18"/>
          <w:szCs w:val="18"/>
        </w:rPr>
        <w:t>Ruscelli</w:t>
      </w:r>
      <w:proofErr w:type="spellEnd"/>
      <w:r w:rsidRPr="002F5C0D">
        <w:rPr>
          <w:rFonts w:cs="Arial"/>
          <w:sz w:val="18"/>
          <w:szCs w:val="18"/>
        </w:rPr>
        <w:t xml:space="preserve">, (1584:299), Adriano </w:t>
      </w:r>
      <w:proofErr w:type="spellStart"/>
      <w:r w:rsidRPr="002F5C0D">
        <w:rPr>
          <w:rFonts w:cs="Arial"/>
          <w:sz w:val="18"/>
          <w:szCs w:val="18"/>
        </w:rPr>
        <w:t>Junius</w:t>
      </w:r>
      <w:proofErr w:type="spellEnd"/>
      <w:r w:rsidRPr="002F5C0D">
        <w:rPr>
          <w:rFonts w:cs="Arial"/>
          <w:sz w:val="18"/>
          <w:szCs w:val="18"/>
        </w:rPr>
        <w:t xml:space="preserve"> (1565, E. VII</w:t>
      </w:r>
      <w:proofErr w:type="gramStart"/>
      <w:r w:rsidRPr="002F5C0D">
        <w:rPr>
          <w:rFonts w:cs="Arial"/>
          <w:sz w:val="18"/>
          <w:szCs w:val="18"/>
        </w:rPr>
        <w:t>:13</w:t>
      </w:r>
      <w:proofErr w:type="gramEnd"/>
      <w:r w:rsidRPr="002F5C0D">
        <w:rPr>
          <w:rFonts w:cs="Arial"/>
          <w:sz w:val="18"/>
          <w:szCs w:val="18"/>
        </w:rPr>
        <w:t xml:space="preserve">) o </w:t>
      </w:r>
      <w:proofErr w:type="spellStart"/>
      <w:r w:rsidRPr="002F5C0D">
        <w:rPr>
          <w:rFonts w:cs="Arial"/>
          <w:sz w:val="18"/>
          <w:szCs w:val="18"/>
        </w:rPr>
        <w:t>Schoonvius</w:t>
      </w:r>
      <w:proofErr w:type="spellEnd"/>
      <w:r w:rsidRPr="002F5C0D">
        <w:rPr>
          <w:rFonts w:cs="Arial"/>
          <w:sz w:val="18"/>
          <w:szCs w:val="18"/>
        </w:rPr>
        <w:t xml:space="preserve"> (1618, E. L:150), con valores ya alejados del campo de significación política. (</w:t>
      </w:r>
      <w:proofErr w:type="spellStart"/>
      <w:r w:rsidRPr="002F5C0D">
        <w:rPr>
          <w:rFonts w:cs="Arial"/>
          <w:sz w:val="18"/>
          <w:szCs w:val="18"/>
        </w:rPr>
        <w:t>Amengual</w:t>
      </w:r>
      <w:proofErr w:type="spellEnd"/>
      <w:r w:rsidRPr="002F5C0D">
        <w:rPr>
          <w:rFonts w:cs="Arial"/>
          <w:sz w:val="18"/>
          <w:szCs w:val="18"/>
        </w:rPr>
        <w:t xml:space="preserve"> Mira, Mar, “Los modelos </w:t>
      </w:r>
      <w:proofErr w:type="spellStart"/>
      <w:r w:rsidRPr="002F5C0D">
        <w:rPr>
          <w:rFonts w:cs="Arial"/>
          <w:sz w:val="18"/>
          <w:szCs w:val="18"/>
        </w:rPr>
        <w:t>animalísticos</w:t>
      </w:r>
      <w:proofErr w:type="spellEnd"/>
      <w:r w:rsidRPr="002F5C0D">
        <w:rPr>
          <w:rFonts w:cs="Arial"/>
          <w:sz w:val="18"/>
          <w:szCs w:val="18"/>
        </w:rPr>
        <w:t xml:space="preserve"> de la razón de estado: usos del bestiario en la emblemática política del siglo XVII”, Madrid, </w:t>
      </w:r>
      <w:proofErr w:type="spellStart"/>
      <w:r w:rsidRPr="002F5C0D">
        <w:rPr>
          <w:rFonts w:cs="Arial"/>
          <w:sz w:val="18"/>
          <w:szCs w:val="18"/>
        </w:rPr>
        <w:t>Univeridad</w:t>
      </w:r>
      <w:proofErr w:type="spellEnd"/>
      <w:r w:rsidRPr="002F5C0D">
        <w:rPr>
          <w:rFonts w:cs="Arial"/>
          <w:sz w:val="18"/>
          <w:szCs w:val="18"/>
        </w:rPr>
        <w:t xml:space="preserve"> Complutense, 2014. Disponible en </w:t>
      </w:r>
      <w:hyperlink r:id="rId1" w:history="1">
        <w:r w:rsidRPr="002F5C0D">
          <w:rPr>
            <w:rStyle w:val="Hipervnculo"/>
            <w:rFonts w:cs="Arial"/>
            <w:sz w:val="18"/>
            <w:szCs w:val="18"/>
          </w:rPr>
          <w:t>http://eprints.ucm.es/30035/</w:t>
        </w:r>
      </w:hyperlink>
      <w:r w:rsidRPr="002F5C0D">
        <w:rPr>
          <w:rFonts w:cs="Arial"/>
          <w:sz w:val="18"/>
          <w:szCs w:val="18"/>
        </w:rPr>
        <w:t xml:space="preserve">) </w:t>
      </w:r>
    </w:p>
  </w:footnote>
  <w:footnote w:id="6">
    <w:p w:rsidR="0029177A" w:rsidRPr="002F5C0D" w:rsidRDefault="0029177A" w:rsidP="00710E4C">
      <w:pPr>
        <w:pStyle w:val="Textonotapie"/>
        <w:rPr>
          <w:rFonts w:cs="Arial"/>
          <w:sz w:val="18"/>
          <w:szCs w:val="18"/>
        </w:rPr>
      </w:pPr>
      <w:r w:rsidRPr="002F5C0D">
        <w:rPr>
          <w:rFonts w:cs="Times New Roman"/>
          <w:sz w:val="18"/>
          <w:szCs w:val="18"/>
        </w:rPr>
        <w:footnoteRef/>
      </w:r>
      <w:r>
        <w:rPr>
          <w:rFonts w:cs="Times New Roman"/>
          <w:sz w:val="18"/>
          <w:szCs w:val="18"/>
        </w:rPr>
        <w:t xml:space="preserve"> </w:t>
      </w:r>
      <w:r w:rsidRPr="002F5C0D">
        <w:rPr>
          <w:rFonts w:cs="Times New Roman"/>
          <w:sz w:val="18"/>
          <w:szCs w:val="18"/>
        </w:rPr>
        <w:t>“</w:t>
      </w:r>
      <w:proofErr w:type="spellStart"/>
      <w:r w:rsidRPr="002F5C0D">
        <w:rPr>
          <w:rFonts w:cs="Arial"/>
          <w:sz w:val="18"/>
          <w:szCs w:val="18"/>
        </w:rPr>
        <w:t>iAy</w:t>
      </w:r>
      <w:proofErr w:type="spellEnd"/>
      <w:r w:rsidRPr="002F5C0D">
        <w:rPr>
          <w:rFonts w:cs="Arial"/>
          <w:sz w:val="18"/>
          <w:szCs w:val="18"/>
        </w:rPr>
        <w:t xml:space="preserve"> que soy / tamborilero de gala y primor</w:t>
      </w:r>
      <w:proofErr w:type="gramStart"/>
      <w:r w:rsidRPr="002F5C0D">
        <w:rPr>
          <w:rFonts w:cs="Arial"/>
          <w:sz w:val="18"/>
          <w:szCs w:val="18"/>
        </w:rPr>
        <w:t>!</w:t>
      </w:r>
      <w:proofErr w:type="gramEnd"/>
      <w:r w:rsidRPr="002F5C0D">
        <w:rPr>
          <w:rFonts w:cs="Arial"/>
          <w:sz w:val="18"/>
          <w:szCs w:val="18"/>
        </w:rPr>
        <w:t xml:space="preserve"> / Con tres pájaros la Fiesta / hermosamente empezó, / </w:t>
      </w:r>
    </w:p>
    <w:p w:rsidR="0029177A" w:rsidRPr="002F5C0D" w:rsidRDefault="0029177A" w:rsidP="00710E4C">
      <w:pPr>
        <w:pStyle w:val="Textonotapie"/>
        <w:rPr>
          <w:rFonts w:cs="Arial"/>
          <w:sz w:val="18"/>
          <w:szCs w:val="18"/>
        </w:rPr>
      </w:pPr>
      <w:r w:rsidRPr="002F5C0D">
        <w:rPr>
          <w:rFonts w:cs="Arial"/>
          <w:sz w:val="18"/>
          <w:szCs w:val="18"/>
        </w:rPr>
        <w:t xml:space="preserve">       y quiero que la corone / otro  </w:t>
      </w:r>
      <w:proofErr w:type="spellStart"/>
      <w:r w:rsidRPr="002F5C0D">
        <w:rPr>
          <w:rFonts w:cs="Arial"/>
          <w:sz w:val="18"/>
          <w:szCs w:val="18"/>
        </w:rPr>
        <w:t>pajaro</w:t>
      </w:r>
      <w:proofErr w:type="spellEnd"/>
      <w:r w:rsidRPr="002F5C0D">
        <w:rPr>
          <w:rFonts w:cs="Arial"/>
          <w:sz w:val="18"/>
          <w:szCs w:val="18"/>
        </w:rPr>
        <w:t xml:space="preserve"> mayor. / </w:t>
      </w:r>
      <w:proofErr w:type="spellStart"/>
      <w:r w:rsidRPr="002F5C0D">
        <w:rPr>
          <w:rFonts w:cs="Arial"/>
          <w:sz w:val="18"/>
          <w:szCs w:val="18"/>
        </w:rPr>
        <w:t>iAy</w:t>
      </w:r>
      <w:proofErr w:type="spellEnd"/>
      <w:r w:rsidRPr="002F5C0D">
        <w:rPr>
          <w:rFonts w:cs="Arial"/>
          <w:sz w:val="18"/>
          <w:szCs w:val="18"/>
        </w:rPr>
        <w:t xml:space="preserve"> que soy  tamborilero de gala y primor</w:t>
      </w:r>
      <w:proofErr w:type="gramStart"/>
      <w:r w:rsidRPr="002F5C0D">
        <w:rPr>
          <w:rFonts w:cs="Arial"/>
          <w:sz w:val="18"/>
          <w:szCs w:val="18"/>
        </w:rPr>
        <w:t>!</w:t>
      </w:r>
      <w:proofErr w:type="gramEnd"/>
      <w:r w:rsidRPr="002F5C0D">
        <w:rPr>
          <w:rFonts w:cs="Arial"/>
          <w:sz w:val="18"/>
          <w:szCs w:val="18"/>
        </w:rPr>
        <w:t xml:space="preserve"> / </w:t>
      </w:r>
    </w:p>
    <w:p w:rsidR="0029177A" w:rsidRPr="002F5C0D" w:rsidRDefault="0029177A" w:rsidP="00710E4C">
      <w:pPr>
        <w:pStyle w:val="Textonotapie"/>
        <w:rPr>
          <w:rFonts w:cs="Arial"/>
          <w:sz w:val="18"/>
          <w:szCs w:val="18"/>
        </w:rPr>
      </w:pPr>
      <w:r w:rsidRPr="002F5C0D">
        <w:rPr>
          <w:rFonts w:cs="Arial"/>
          <w:sz w:val="18"/>
          <w:szCs w:val="18"/>
        </w:rPr>
        <w:t xml:space="preserve">       Blanco nevado del Cielo, / Carlos, retrato de Dios /Pelícano que la vida / Nos da vuestro corazón.”</w:t>
      </w:r>
    </w:p>
    <w:p w:rsidR="0029177A" w:rsidRPr="00264843" w:rsidRDefault="0029177A" w:rsidP="00710E4C">
      <w:pPr>
        <w:pStyle w:val="Textonotapie"/>
        <w:rPr>
          <w:sz w:val="18"/>
          <w:szCs w:val="18"/>
          <w:lang w:val="en-US"/>
        </w:rPr>
      </w:pPr>
      <w:r w:rsidRPr="002F5C0D">
        <w:rPr>
          <w:rFonts w:cs="Arial"/>
          <w:sz w:val="18"/>
          <w:szCs w:val="18"/>
        </w:rPr>
        <w:t xml:space="preserve">       </w:t>
      </w:r>
      <w:r w:rsidRPr="00264843">
        <w:rPr>
          <w:rFonts w:cs="Arial"/>
          <w:sz w:val="18"/>
          <w:szCs w:val="18"/>
          <w:lang w:val="en-US"/>
        </w:rPr>
        <w:t xml:space="preserve">Citado en  Neumister (1976). </w:t>
      </w:r>
      <w:r w:rsidRPr="00264843">
        <w:rPr>
          <w:sz w:val="18"/>
          <w:szCs w:val="18"/>
          <w:lang w:val="en-US"/>
        </w:rPr>
        <w:t xml:space="preserve">   </w:t>
      </w:r>
    </w:p>
  </w:footnote>
  <w:footnote w:id="7">
    <w:p w:rsidR="00913F77" w:rsidRPr="00183DEE" w:rsidRDefault="00913F77" w:rsidP="00913F77">
      <w:pPr>
        <w:pStyle w:val="Textonotapie"/>
        <w:rPr>
          <w:sz w:val="18"/>
          <w:szCs w:val="18"/>
          <w:lang w:val="es-AR"/>
        </w:rPr>
      </w:pPr>
      <w:r>
        <w:rPr>
          <w:rStyle w:val="Refdenotaalpie"/>
        </w:rPr>
        <w:footnoteRef/>
      </w:r>
      <w:r w:rsidRPr="00264843">
        <w:rPr>
          <w:lang w:val="en-US"/>
        </w:rPr>
        <w:t xml:space="preserve"> </w:t>
      </w:r>
      <w:r w:rsidR="00B830EE" w:rsidRPr="00264843">
        <w:rPr>
          <w:lang w:val="en-US"/>
        </w:rPr>
        <w:t>Al respecto de estos versos, afirma Boase: “</w:t>
      </w:r>
      <w:r w:rsidRPr="00264843">
        <w:rPr>
          <w:sz w:val="18"/>
          <w:szCs w:val="18"/>
          <w:lang w:val="en-US"/>
        </w:rPr>
        <w:t>The phoenix, a symbol of the Queen’s uniqueness, chastity and royalty, and the palm, a symbol of chastity and triumph, are closely interrelated: they are both associated with virginity, martyrdom, self-sacrifice, longevity, victory, regeneration, and immortality. According to Ovid, the phoenix builds its nest high in the branches of a swaying palm tree (</w:t>
      </w:r>
      <w:r w:rsidRPr="00264843">
        <w:rPr>
          <w:i/>
          <w:iCs/>
          <w:sz w:val="18"/>
          <w:szCs w:val="18"/>
          <w:lang w:val="en-US"/>
        </w:rPr>
        <w:t>Metamorphoses</w:t>
      </w:r>
      <w:r w:rsidRPr="00264843">
        <w:rPr>
          <w:sz w:val="18"/>
          <w:szCs w:val="18"/>
          <w:lang w:val="en-US"/>
        </w:rPr>
        <w:t>, xv. 391–417)</w:t>
      </w:r>
      <w:r w:rsidR="00FE3895" w:rsidRPr="00264843">
        <w:rPr>
          <w:sz w:val="18"/>
          <w:szCs w:val="18"/>
          <w:lang w:val="en-US"/>
        </w:rPr>
        <w:t xml:space="preserve"> </w:t>
      </w:r>
      <w:r w:rsidRPr="00264843">
        <w:rPr>
          <w:sz w:val="18"/>
          <w:szCs w:val="18"/>
          <w:lang w:val="en-US"/>
        </w:rPr>
        <w:t>and both symbols are depicted together on the tombs of Christians buried in</w:t>
      </w:r>
      <w:r w:rsidR="00FE3895" w:rsidRPr="00264843">
        <w:rPr>
          <w:sz w:val="18"/>
          <w:szCs w:val="18"/>
          <w:lang w:val="en-US"/>
        </w:rPr>
        <w:t xml:space="preserve"> </w:t>
      </w:r>
      <w:r w:rsidRPr="00264843">
        <w:rPr>
          <w:sz w:val="18"/>
          <w:szCs w:val="18"/>
          <w:lang w:val="en-US"/>
        </w:rPr>
        <w:t>the Roman catacom</w:t>
      </w:r>
      <w:r w:rsidR="00793DC2" w:rsidRPr="00264843">
        <w:rPr>
          <w:sz w:val="18"/>
          <w:szCs w:val="18"/>
          <w:lang w:val="en-US"/>
        </w:rPr>
        <w:t>bs, and in early church mosaics</w:t>
      </w:r>
      <w:r w:rsidR="00B830EE" w:rsidRPr="00264843">
        <w:rPr>
          <w:sz w:val="18"/>
          <w:szCs w:val="18"/>
          <w:lang w:val="en-US"/>
        </w:rPr>
        <w:t>”</w:t>
      </w:r>
      <w:r w:rsidR="00793DC2" w:rsidRPr="00264843">
        <w:rPr>
          <w:sz w:val="18"/>
          <w:szCs w:val="18"/>
          <w:lang w:val="en-US"/>
        </w:rPr>
        <w:t xml:space="preserve"> (Boase, 2013, 62)</w:t>
      </w:r>
      <w:r w:rsidR="00B830EE" w:rsidRPr="00264843">
        <w:rPr>
          <w:sz w:val="18"/>
          <w:szCs w:val="18"/>
          <w:lang w:val="en-US"/>
        </w:rPr>
        <w:t xml:space="preserve">. </w:t>
      </w:r>
      <w:r w:rsidR="00B830EE">
        <w:rPr>
          <w:sz w:val="18"/>
          <w:szCs w:val="18"/>
          <w:lang w:val="es-AR"/>
        </w:rPr>
        <w:t>Coexistieron en la antigüedad grecolatina</w:t>
      </w:r>
      <w:r w:rsidR="00F10979">
        <w:rPr>
          <w:sz w:val="18"/>
          <w:szCs w:val="18"/>
          <w:lang w:val="es-AR"/>
        </w:rPr>
        <w:t xml:space="preserve"> </w:t>
      </w:r>
      <w:r w:rsidR="00B830EE">
        <w:rPr>
          <w:sz w:val="18"/>
          <w:szCs w:val="18"/>
          <w:lang w:val="es-AR"/>
        </w:rPr>
        <w:t>dos versiones</w:t>
      </w:r>
      <w:r w:rsidR="00F10979">
        <w:rPr>
          <w:sz w:val="18"/>
          <w:szCs w:val="18"/>
          <w:lang w:val="es-AR"/>
        </w:rPr>
        <w:t xml:space="preserve"> del mito del fénix</w:t>
      </w:r>
      <w:r w:rsidR="00DE08A3">
        <w:rPr>
          <w:sz w:val="18"/>
          <w:szCs w:val="18"/>
          <w:lang w:val="es-AR"/>
        </w:rPr>
        <w:t>, que entre otras cosas, difería en el sitio de incineración:</w:t>
      </w:r>
      <w:r w:rsidR="00F10979">
        <w:rPr>
          <w:sz w:val="18"/>
          <w:szCs w:val="18"/>
          <w:lang w:val="es-AR"/>
        </w:rPr>
        <w:t xml:space="preserve"> en una, era en lo alto de una palm</w:t>
      </w:r>
      <w:r w:rsidR="00054DE4">
        <w:rPr>
          <w:sz w:val="18"/>
          <w:szCs w:val="18"/>
          <w:lang w:val="es-AR"/>
        </w:rPr>
        <w:t>era</w:t>
      </w:r>
      <w:r w:rsidR="00F10979">
        <w:rPr>
          <w:sz w:val="18"/>
          <w:szCs w:val="18"/>
          <w:lang w:val="es-AR"/>
        </w:rPr>
        <w:t>, que es la que recrea Ovidio, en otra, en</w:t>
      </w:r>
      <w:r w:rsidR="00183DEE">
        <w:rPr>
          <w:sz w:val="18"/>
          <w:szCs w:val="18"/>
          <w:lang w:val="es-AR"/>
        </w:rPr>
        <w:t xml:space="preserve"> una pira sobre</w:t>
      </w:r>
      <w:r w:rsidR="00F10979">
        <w:rPr>
          <w:sz w:val="18"/>
          <w:szCs w:val="18"/>
          <w:lang w:val="es-AR"/>
        </w:rPr>
        <w:t xml:space="preserve"> el altar de Heliópolis, que es la </w:t>
      </w:r>
      <w:r w:rsidR="00183DEE">
        <w:rPr>
          <w:sz w:val="18"/>
          <w:szCs w:val="18"/>
          <w:lang w:val="es-AR"/>
        </w:rPr>
        <w:t xml:space="preserve">que menciona </w:t>
      </w:r>
      <w:r w:rsidR="00183DEE" w:rsidRPr="00183DEE">
        <w:rPr>
          <w:i/>
          <w:sz w:val="18"/>
          <w:szCs w:val="18"/>
          <w:lang w:val="es-AR"/>
        </w:rPr>
        <w:t>El Fisiólogo</w:t>
      </w:r>
      <w:r w:rsidR="00183DEE">
        <w:rPr>
          <w:sz w:val="18"/>
          <w:szCs w:val="18"/>
          <w:lang w:val="es-AR"/>
        </w:rPr>
        <w:t xml:space="preserve">. La que </w:t>
      </w:r>
      <w:r w:rsidR="00054DE4">
        <w:rPr>
          <w:sz w:val="18"/>
          <w:szCs w:val="18"/>
          <w:lang w:val="es-AR"/>
        </w:rPr>
        <w:t xml:space="preserve">tuvo mayor fortuna fue la segunda. Es sugestivo que palma y fénix se mencionen juntos, </w:t>
      </w:r>
      <w:r w:rsidR="007A59D1">
        <w:rPr>
          <w:sz w:val="18"/>
          <w:szCs w:val="18"/>
          <w:lang w:val="es-AR"/>
        </w:rPr>
        <w:t>lo cual evidenciaría un conocimiento inmediato o mediado del poema de Ovidio por parte del poeta</w:t>
      </w:r>
      <w:r w:rsidR="007F27ED">
        <w:rPr>
          <w:sz w:val="18"/>
          <w:szCs w:val="18"/>
          <w:lang w:val="es-AR"/>
        </w:rPr>
        <w:t xml:space="preserve">, </w:t>
      </w:r>
      <w:r w:rsidR="00054DE4">
        <w:rPr>
          <w:sz w:val="18"/>
          <w:szCs w:val="18"/>
          <w:lang w:val="es-AR"/>
        </w:rPr>
        <w:t>pero quizá sea</w:t>
      </w:r>
      <w:r w:rsidR="00A119D2">
        <w:rPr>
          <w:sz w:val="18"/>
          <w:szCs w:val="18"/>
          <w:lang w:val="es-AR"/>
        </w:rPr>
        <w:t xml:space="preserve"> solo una confluencia de recorridos simbólicos diferentes, hagiográfico uno, mítico el otro.</w:t>
      </w:r>
      <w:r w:rsidR="00DE08A3">
        <w:rPr>
          <w:sz w:val="18"/>
          <w:szCs w:val="18"/>
          <w:lang w:val="es-AR"/>
        </w:rPr>
        <w:t xml:space="preserve"> </w:t>
      </w:r>
    </w:p>
  </w:footnote>
  <w:footnote w:id="8">
    <w:p w:rsidR="0029177A" w:rsidRPr="00B25F6D" w:rsidRDefault="0029177A" w:rsidP="00CF7A7B">
      <w:pPr>
        <w:pStyle w:val="Textonotapie"/>
        <w:rPr>
          <w:sz w:val="18"/>
          <w:szCs w:val="18"/>
        </w:rPr>
      </w:pPr>
      <w:r>
        <w:rPr>
          <w:rStyle w:val="Refdenotaalpie"/>
        </w:rPr>
        <w:footnoteRef/>
      </w:r>
      <w:r>
        <w:t xml:space="preserve"> </w:t>
      </w:r>
      <w:r w:rsidRPr="00B25F6D">
        <w:rPr>
          <w:sz w:val="18"/>
          <w:szCs w:val="18"/>
        </w:rPr>
        <w:t xml:space="preserve">Para más detalles de la política de Juan II con la nobleza de su reino, las palabras de un contemporáneo, el cronista de los Reyes Católicos, Andrés de Bernáldez: “El  Rey D. Juan de Portugal, comenzó de reinar en el Portugal año de 1481, después de la muerte del Rey D. Alonso su padre en el mes de Agosto del dicho año, é reinó catorce años. En el comienzo de su reinado ovo diferencias é turbaciones entre él é  algunos Grandes de Portugal el año de 1483 después de las entregas desfechas é venida en Castilla la Infanta, é el Duque de Viseo </w:t>
      </w:r>
      <w:proofErr w:type="spellStart"/>
      <w:r w:rsidRPr="00B25F6D">
        <w:rPr>
          <w:sz w:val="18"/>
          <w:szCs w:val="18"/>
        </w:rPr>
        <w:t>á</w:t>
      </w:r>
      <w:proofErr w:type="spellEnd"/>
      <w:r w:rsidRPr="00B25F6D">
        <w:rPr>
          <w:sz w:val="18"/>
          <w:szCs w:val="18"/>
        </w:rPr>
        <w:t xml:space="preserve"> Portugal, y el Príncipe de Portugal llevado é Évora, estando seguro el Duque de Braganza, que era casado con hermana de la Reina, en la Ciudad de </w:t>
      </w:r>
      <w:proofErr w:type="spellStart"/>
      <w:r w:rsidRPr="00B25F6D">
        <w:rPr>
          <w:sz w:val="18"/>
          <w:szCs w:val="18"/>
        </w:rPr>
        <w:t>Ebora</w:t>
      </w:r>
      <w:proofErr w:type="spellEnd"/>
      <w:r w:rsidRPr="00B25F6D">
        <w:rPr>
          <w:sz w:val="18"/>
          <w:szCs w:val="18"/>
        </w:rPr>
        <w:t xml:space="preserve">, el Rey lo mandó prender, el cual </w:t>
      </w:r>
      <w:proofErr w:type="spellStart"/>
      <w:r w:rsidRPr="00B25F6D">
        <w:rPr>
          <w:sz w:val="18"/>
          <w:szCs w:val="18"/>
        </w:rPr>
        <w:t>fué</w:t>
      </w:r>
      <w:proofErr w:type="spellEnd"/>
      <w:r w:rsidRPr="00B25F6D">
        <w:rPr>
          <w:sz w:val="18"/>
          <w:szCs w:val="18"/>
        </w:rPr>
        <w:t xml:space="preserve"> preso Jueves </w:t>
      </w:r>
      <w:proofErr w:type="spellStart"/>
      <w:r w:rsidRPr="00B25F6D">
        <w:rPr>
          <w:sz w:val="18"/>
          <w:szCs w:val="18"/>
        </w:rPr>
        <w:t>dia</w:t>
      </w:r>
      <w:proofErr w:type="spellEnd"/>
      <w:r w:rsidRPr="00B25F6D">
        <w:rPr>
          <w:sz w:val="18"/>
          <w:szCs w:val="18"/>
        </w:rPr>
        <w:t xml:space="preserve">  de  </w:t>
      </w:r>
      <w:proofErr w:type="spellStart"/>
      <w:r w:rsidRPr="00B25F6D">
        <w:rPr>
          <w:sz w:val="18"/>
          <w:szCs w:val="18"/>
        </w:rPr>
        <w:t>Córpus</w:t>
      </w:r>
      <w:proofErr w:type="spellEnd"/>
      <w:r w:rsidRPr="00B25F6D">
        <w:rPr>
          <w:sz w:val="18"/>
          <w:szCs w:val="18"/>
        </w:rPr>
        <w:t xml:space="preserve"> Christi </w:t>
      </w:r>
      <w:proofErr w:type="spellStart"/>
      <w:r w:rsidRPr="00B25F6D">
        <w:rPr>
          <w:sz w:val="18"/>
          <w:szCs w:val="18"/>
        </w:rPr>
        <w:t>á</w:t>
      </w:r>
      <w:proofErr w:type="spellEnd"/>
      <w:r w:rsidRPr="00B25F6D">
        <w:rPr>
          <w:sz w:val="18"/>
          <w:szCs w:val="18"/>
        </w:rPr>
        <w:t xml:space="preserve"> 29 </w:t>
      </w:r>
      <w:proofErr w:type="spellStart"/>
      <w:r w:rsidRPr="00B25F6D">
        <w:rPr>
          <w:sz w:val="18"/>
          <w:szCs w:val="18"/>
        </w:rPr>
        <w:t>dias</w:t>
      </w:r>
      <w:proofErr w:type="spellEnd"/>
      <w:r w:rsidRPr="00B25F6D">
        <w:rPr>
          <w:sz w:val="18"/>
          <w:szCs w:val="18"/>
        </w:rPr>
        <w:t xml:space="preserve"> dcl mes de Mayo, é  proceso contra él é </w:t>
      </w:r>
      <w:proofErr w:type="spellStart"/>
      <w:r w:rsidRPr="00B25F6D">
        <w:rPr>
          <w:sz w:val="18"/>
          <w:szCs w:val="18"/>
        </w:rPr>
        <w:t>fué</w:t>
      </w:r>
      <w:proofErr w:type="spellEnd"/>
      <w:r w:rsidRPr="00B25F6D">
        <w:rPr>
          <w:sz w:val="18"/>
          <w:szCs w:val="18"/>
        </w:rPr>
        <w:t xml:space="preserve"> degollado por su mandado  desde á quince </w:t>
      </w:r>
      <w:proofErr w:type="spellStart"/>
      <w:r w:rsidRPr="00B25F6D">
        <w:rPr>
          <w:sz w:val="18"/>
          <w:szCs w:val="18"/>
        </w:rPr>
        <w:t>dias</w:t>
      </w:r>
      <w:proofErr w:type="spellEnd"/>
      <w:r w:rsidRPr="00B25F6D">
        <w:rPr>
          <w:sz w:val="18"/>
          <w:szCs w:val="18"/>
        </w:rPr>
        <w:t xml:space="preserve"> Viernes, é de ésta fue grande espanto en los caballeros de Portugal (…). En el año de 1484 en el mes de Agosto en </w:t>
      </w:r>
      <w:proofErr w:type="spellStart"/>
      <w:r w:rsidRPr="00B25F6D">
        <w:rPr>
          <w:sz w:val="18"/>
          <w:szCs w:val="18"/>
        </w:rPr>
        <w:t>Setubal</w:t>
      </w:r>
      <w:proofErr w:type="spellEnd"/>
      <w:r w:rsidRPr="00B25F6D">
        <w:rPr>
          <w:sz w:val="18"/>
          <w:szCs w:val="18"/>
        </w:rPr>
        <w:t xml:space="preserve">, estando el Rey en su Palacio entraron </w:t>
      </w:r>
      <w:proofErr w:type="spellStart"/>
      <w:r w:rsidRPr="00B25F6D">
        <w:rPr>
          <w:sz w:val="18"/>
          <w:szCs w:val="18"/>
        </w:rPr>
        <w:t>á</w:t>
      </w:r>
      <w:proofErr w:type="spellEnd"/>
      <w:r w:rsidRPr="00B25F6D">
        <w:rPr>
          <w:sz w:val="18"/>
          <w:szCs w:val="18"/>
        </w:rPr>
        <w:t xml:space="preserve"> él seguros  una noche el Duque de Viseo, su primo, hermano de la Reina D. Diego, é el Obispo de </w:t>
      </w:r>
      <w:proofErr w:type="spellStart"/>
      <w:r w:rsidRPr="00B25F6D">
        <w:rPr>
          <w:sz w:val="18"/>
          <w:szCs w:val="18"/>
        </w:rPr>
        <w:t>Ébora</w:t>
      </w:r>
      <w:proofErr w:type="spellEnd"/>
      <w:r w:rsidRPr="00B25F6D">
        <w:rPr>
          <w:sz w:val="18"/>
          <w:szCs w:val="18"/>
        </w:rPr>
        <w:t xml:space="preserve">; y el Rey </w:t>
      </w:r>
      <w:proofErr w:type="spellStart"/>
      <w:r w:rsidRPr="00B25F6D">
        <w:rPr>
          <w:sz w:val="18"/>
          <w:szCs w:val="18"/>
        </w:rPr>
        <w:t>tenia</w:t>
      </w:r>
      <w:proofErr w:type="spellEnd"/>
      <w:r w:rsidRPr="00B25F6D">
        <w:rPr>
          <w:sz w:val="18"/>
          <w:szCs w:val="18"/>
        </w:rPr>
        <w:t xml:space="preserve"> ya concertado de los matar, é así como entraron dio de puñaladas al Duque y </w:t>
      </w:r>
      <w:proofErr w:type="spellStart"/>
      <w:r w:rsidRPr="00B25F6D">
        <w:rPr>
          <w:sz w:val="18"/>
          <w:szCs w:val="18"/>
        </w:rPr>
        <w:t>matólo</w:t>
      </w:r>
      <w:proofErr w:type="spellEnd"/>
      <w:r w:rsidRPr="00B25F6D">
        <w:rPr>
          <w:sz w:val="18"/>
          <w:szCs w:val="18"/>
        </w:rPr>
        <w:t xml:space="preserve">, é </w:t>
      </w:r>
      <w:proofErr w:type="spellStart"/>
      <w:r w:rsidRPr="00B25F6D">
        <w:rPr>
          <w:sz w:val="18"/>
          <w:szCs w:val="18"/>
        </w:rPr>
        <w:t>fizólo</w:t>
      </w:r>
      <w:proofErr w:type="spellEnd"/>
      <w:r w:rsidRPr="00B25F6D">
        <w:rPr>
          <w:sz w:val="18"/>
          <w:szCs w:val="18"/>
        </w:rPr>
        <w:t xml:space="preserve"> </w:t>
      </w:r>
      <w:proofErr w:type="spellStart"/>
      <w:r w:rsidRPr="00B25F6D">
        <w:rPr>
          <w:sz w:val="18"/>
          <w:szCs w:val="18"/>
        </w:rPr>
        <w:t>hechar</w:t>
      </w:r>
      <w:proofErr w:type="spellEnd"/>
      <w:r w:rsidRPr="00B25F6D">
        <w:rPr>
          <w:sz w:val="18"/>
          <w:szCs w:val="18"/>
        </w:rPr>
        <w:t xml:space="preserve"> por una ventana abajo sobre un tejado que era en lo alto de la sala, é prendió á el Obispo é </w:t>
      </w:r>
      <w:proofErr w:type="spellStart"/>
      <w:r w:rsidRPr="00B25F6D">
        <w:rPr>
          <w:sz w:val="18"/>
          <w:szCs w:val="18"/>
        </w:rPr>
        <w:t>fizólo</w:t>
      </w:r>
      <w:proofErr w:type="spellEnd"/>
      <w:r w:rsidRPr="00B25F6D">
        <w:rPr>
          <w:sz w:val="18"/>
          <w:szCs w:val="18"/>
        </w:rPr>
        <w:t xml:space="preserve"> echar en una cisterna donde estuvo fasta que murió (…) É después prendió é degolló </w:t>
      </w:r>
      <w:proofErr w:type="spellStart"/>
      <w:r w:rsidRPr="00B25F6D">
        <w:rPr>
          <w:sz w:val="18"/>
          <w:szCs w:val="18"/>
        </w:rPr>
        <w:t>á</w:t>
      </w:r>
      <w:proofErr w:type="spellEnd"/>
      <w:r w:rsidRPr="00B25F6D">
        <w:rPr>
          <w:sz w:val="18"/>
          <w:szCs w:val="18"/>
        </w:rPr>
        <w:t xml:space="preserve"> D. Fernando de Meneses  hermano del Obispo de </w:t>
      </w:r>
      <w:proofErr w:type="spellStart"/>
      <w:r w:rsidRPr="00B25F6D">
        <w:rPr>
          <w:sz w:val="18"/>
          <w:szCs w:val="18"/>
        </w:rPr>
        <w:t>Ébora</w:t>
      </w:r>
      <w:proofErr w:type="spellEnd"/>
      <w:r w:rsidRPr="00B25F6D">
        <w:rPr>
          <w:sz w:val="18"/>
          <w:szCs w:val="18"/>
        </w:rPr>
        <w:t xml:space="preserve">, dos fijos del susodicho y descuartizaron </w:t>
      </w:r>
      <w:proofErr w:type="spellStart"/>
      <w:r w:rsidRPr="00B25F6D">
        <w:rPr>
          <w:sz w:val="18"/>
          <w:szCs w:val="18"/>
        </w:rPr>
        <w:t>á</w:t>
      </w:r>
      <w:proofErr w:type="spellEnd"/>
      <w:r w:rsidRPr="00B25F6D">
        <w:rPr>
          <w:sz w:val="18"/>
          <w:szCs w:val="18"/>
        </w:rPr>
        <w:t xml:space="preserve"> él uno; é fizo degollar </w:t>
      </w:r>
      <w:proofErr w:type="spellStart"/>
      <w:r w:rsidRPr="00B25F6D">
        <w:rPr>
          <w:sz w:val="18"/>
          <w:szCs w:val="18"/>
        </w:rPr>
        <w:t>á</w:t>
      </w:r>
      <w:proofErr w:type="spellEnd"/>
      <w:r w:rsidRPr="00B25F6D">
        <w:rPr>
          <w:sz w:val="18"/>
          <w:szCs w:val="18"/>
        </w:rPr>
        <w:t xml:space="preserve"> Pedro de Alburquerque, </w:t>
      </w:r>
      <w:proofErr w:type="spellStart"/>
      <w:r w:rsidRPr="00B25F6D">
        <w:rPr>
          <w:sz w:val="18"/>
          <w:szCs w:val="18"/>
        </w:rPr>
        <w:t>é</w:t>
      </w:r>
      <w:proofErr w:type="spellEnd"/>
      <w:r w:rsidRPr="00B25F6D">
        <w:rPr>
          <w:sz w:val="18"/>
          <w:szCs w:val="18"/>
        </w:rPr>
        <w:t xml:space="preserve"> </w:t>
      </w:r>
      <w:proofErr w:type="spellStart"/>
      <w:r w:rsidRPr="00B25F6D">
        <w:rPr>
          <w:sz w:val="18"/>
          <w:szCs w:val="18"/>
        </w:rPr>
        <w:t>á</w:t>
      </w:r>
      <w:proofErr w:type="spellEnd"/>
      <w:r w:rsidRPr="00B25F6D">
        <w:rPr>
          <w:sz w:val="18"/>
          <w:szCs w:val="18"/>
        </w:rPr>
        <w:t xml:space="preserve"> otros. É </w:t>
      </w:r>
      <w:proofErr w:type="spellStart"/>
      <w:r w:rsidRPr="00B25F6D">
        <w:rPr>
          <w:sz w:val="18"/>
          <w:szCs w:val="18"/>
        </w:rPr>
        <w:t>ésto</w:t>
      </w:r>
      <w:proofErr w:type="spellEnd"/>
      <w:r w:rsidRPr="00B25F6D">
        <w:rPr>
          <w:sz w:val="18"/>
          <w:szCs w:val="18"/>
        </w:rPr>
        <w:t xml:space="preserve"> </w:t>
      </w:r>
      <w:proofErr w:type="spellStart"/>
      <w:r w:rsidRPr="00B25F6D">
        <w:rPr>
          <w:sz w:val="18"/>
          <w:szCs w:val="18"/>
        </w:rPr>
        <w:t>diz</w:t>
      </w:r>
      <w:proofErr w:type="spellEnd"/>
      <w:r w:rsidRPr="00B25F6D">
        <w:rPr>
          <w:sz w:val="18"/>
          <w:szCs w:val="18"/>
        </w:rPr>
        <w:t xml:space="preserve"> que fizo al Rey porque falló que los dichos caballeros le ordenaban traición, é </w:t>
      </w:r>
      <w:proofErr w:type="spellStart"/>
      <w:r w:rsidRPr="00B25F6D">
        <w:rPr>
          <w:sz w:val="18"/>
          <w:szCs w:val="18"/>
        </w:rPr>
        <w:t>tenian</w:t>
      </w:r>
      <w:proofErr w:type="spellEnd"/>
      <w:r w:rsidRPr="00B25F6D">
        <w:rPr>
          <w:sz w:val="18"/>
          <w:szCs w:val="18"/>
        </w:rPr>
        <w:t xml:space="preserve"> concertado de matar </w:t>
      </w:r>
      <w:proofErr w:type="spellStart"/>
      <w:r w:rsidRPr="00B25F6D">
        <w:rPr>
          <w:sz w:val="18"/>
          <w:szCs w:val="18"/>
        </w:rPr>
        <w:t>á</w:t>
      </w:r>
      <w:proofErr w:type="spellEnd"/>
      <w:r w:rsidRPr="00B25F6D">
        <w:rPr>
          <w:sz w:val="18"/>
          <w:szCs w:val="18"/>
        </w:rPr>
        <w:t xml:space="preserve"> él, </w:t>
      </w:r>
      <w:proofErr w:type="spellStart"/>
      <w:r w:rsidRPr="00B25F6D">
        <w:rPr>
          <w:sz w:val="18"/>
          <w:szCs w:val="18"/>
        </w:rPr>
        <w:t>é</w:t>
      </w:r>
      <w:proofErr w:type="spellEnd"/>
      <w:r w:rsidRPr="00B25F6D">
        <w:rPr>
          <w:sz w:val="18"/>
          <w:szCs w:val="18"/>
        </w:rPr>
        <w:t xml:space="preserve"> </w:t>
      </w:r>
      <w:proofErr w:type="spellStart"/>
      <w:r w:rsidRPr="00B25F6D">
        <w:rPr>
          <w:sz w:val="18"/>
          <w:szCs w:val="18"/>
        </w:rPr>
        <w:t>á</w:t>
      </w:r>
      <w:proofErr w:type="spellEnd"/>
      <w:r w:rsidRPr="00B25F6D">
        <w:rPr>
          <w:sz w:val="18"/>
          <w:szCs w:val="18"/>
        </w:rPr>
        <w:t xml:space="preserve"> su fijo, é alzar por Rey de Portugal al dicho D. Diego Duque de Viseo, hermano de la Reina, fijo del Infante D. Fernando hermano del Rey D. Alfonso” (Bernáldez, 1870, pp.146-147)</w:t>
      </w:r>
    </w:p>
  </w:footnote>
  <w:footnote w:id="9">
    <w:p w:rsidR="0029177A" w:rsidRPr="00B25F6D" w:rsidRDefault="0029177A">
      <w:pPr>
        <w:pStyle w:val="Textonotapie"/>
        <w:rPr>
          <w:sz w:val="18"/>
          <w:szCs w:val="18"/>
        </w:rPr>
      </w:pPr>
      <w:r w:rsidRPr="00B25F6D">
        <w:rPr>
          <w:rStyle w:val="Refdenotaalpie"/>
          <w:sz w:val="18"/>
          <w:szCs w:val="18"/>
        </w:rPr>
        <w:footnoteRef/>
      </w:r>
      <w:r w:rsidRPr="00B25F6D">
        <w:rPr>
          <w:sz w:val="18"/>
          <w:szCs w:val="18"/>
        </w:rPr>
        <w:t xml:space="preserve"> </w:t>
      </w:r>
      <w:r w:rsidR="00222175">
        <w:rPr>
          <w:sz w:val="18"/>
          <w:szCs w:val="18"/>
        </w:rPr>
        <w:t>“</w:t>
      </w:r>
      <w:r w:rsidRPr="00B25F6D">
        <w:rPr>
          <w:sz w:val="18"/>
          <w:szCs w:val="18"/>
        </w:rPr>
        <w:t xml:space="preserve">De entrada, cabe decir que, en líneas muy generales, ese ideal respondía, respectivamente, a dos modelos de entender las relaciones entre rey y reino. De un lado, el modelo autoritario, en que el monarca disponía de una </w:t>
      </w:r>
      <w:proofErr w:type="spellStart"/>
      <w:r w:rsidRPr="00B25F6D">
        <w:rPr>
          <w:i/>
          <w:sz w:val="18"/>
          <w:szCs w:val="18"/>
        </w:rPr>
        <w:t>plenitudo</w:t>
      </w:r>
      <w:proofErr w:type="spellEnd"/>
      <w:r w:rsidRPr="00B25F6D">
        <w:rPr>
          <w:i/>
          <w:sz w:val="18"/>
          <w:szCs w:val="18"/>
        </w:rPr>
        <w:t xml:space="preserve"> </w:t>
      </w:r>
      <w:proofErr w:type="spellStart"/>
      <w:r w:rsidRPr="00B25F6D">
        <w:rPr>
          <w:i/>
          <w:sz w:val="18"/>
          <w:szCs w:val="18"/>
        </w:rPr>
        <w:t>potestatis</w:t>
      </w:r>
      <w:proofErr w:type="spellEnd"/>
      <w:r w:rsidRPr="00B25F6D">
        <w:rPr>
          <w:sz w:val="18"/>
          <w:szCs w:val="18"/>
        </w:rPr>
        <w:t xml:space="preserve">. De otro lado, el modelo pactista, en que rey y sociedad política acordaban, con un cierto grado de colegialidad, decisiones de gobierno. En ninguno de los dos modelos se ponía en duda el hecho de que la </w:t>
      </w:r>
      <w:proofErr w:type="spellStart"/>
      <w:r w:rsidRPr="00B25F6D">
        <w:rPr>
          <w:i/>
          <w:sz w:val="18"/>
          <w:szCs w:val="18"/>
        </w:rPr>
        <w:t>potestas</w:t>
      </w:r>
      <w:proofErr w:type="spellEnd"/>
      <w:r w:rsidRPr="00B25F6D">
        <w:rPr>
          <w:i/>
          <w:sz w:val="18"/>
          <w:szCs w:val="18"/>
        </w:rPr>
        <w:t xml:space="preserve"> regia</w:t>
      </w:r>
      <w:r w:rsidRPr="00B25F6D">
        <w:rPr>
          <w:sz w:val="18"/>
          <w:szCs w:val="18"/>
        </w:rPr>
        <w:t xml:space="preserve"> fuera compatible con una efectiva supremacía social y política de los grupos dominantes de la sociedad. De los dos modelos de relación entre rey y reino, Castilla optó por el primero y correspondió, sin duda, a Alfonso X un papel decisivo en el desarrollo institucional de un proyecto político en torno al poder real que, a la larga, conduciría al absolutismo monárquico</w:t>
      </w:r>
      <w:r w:rsidR="00222175">
        <w:rPr>
          <w:sz w:val="18"/>
          <w:szCs w:val="18"/>
        </w:rPr>
        <w:t>”</w:t>
      </w:r>
      <w:r w:rsidRPr="00B25F6D">
        <w:rPr>
          <w:sz w:val="18"/>
          <w:szCs w:val="18"/>
        </w:rPr>
        <w:t xml:space="preserve"> </w:t>
      </w:r>
      <w:r w:rsidRPr="00B25F6D">
        <w:rPr>
          <w:iCs/>
          <w:sz w:val="18"/>
          <w:szCs w:val="18"/>
        </w:rPr>
        <w:t>(García de Cortázar, 2014, 12)</w:t>
      </w:r>
      <w:r w:rsidRPr="00B25F6D">
        <w:rPr>
          <w:sz w:val="18"/>
          <w:szCs w:val="18"/>
        </w:rPr>
        <w:t xml:space="preserve"> </w:t>
      </w:r>
    </w:p>
  </w:footnote>
  <w:footnote w:id="10">
    <w:p w:rsidR="0029177A" w:rsidRPr="00B25F6D" w:rsidRDefault="0029177A" w:rsidP="00BF3148">
      <w:pPr>
        <w:pStyle w:val="Textonotapie"/>
        <w:rPr>
          <w:sz w:val="18"/>
          <w:szCs w:val="18"/>
        </w:rPr>
      </w:pPr>
      <w:r w:rsidRPr="00B25F6D">
        <w:rPr>
          <w:rStyle w:val="Refdenotaalpie"/>
          <w:sz w:val="18"/>
          <w:szCs w:val="18"/>
        </w:rPr>
        <w:footnoteRef/>
      </w:r>
      <w:r w:rsidRPr="00B25F6D">
        <w:rPr>
          <w:sz w:val="18"/>
          <w:szCs w:val="18"/>
        </w:rPr>
        <w:t xml:space="preserve"> La cita completa es la siguiente “Generalizando ulteriormente la ya amplísima clase de los dispositivos </w:t>
      </w:r>
      <w:proofErr w:type="spellStart"/>
      <w:r w:rsidRPr="00B25F6D">
        <w:rPr>
          <w:sz w:val="18"/>
          <w:szCs w:val="18"/>
        </w:rPr>
        <w:t>foucaultianos</w:t>
      </w:r>
      <w:proofErr w:type="spellEnd"/>
      <w:r w:rsidRPr="00B25F6D">
        <w:rPr>
          <w:sz w:val="18"/>
          <w:szCs w:val="18"/>
        </w:rPr>
        <w:t>, llamaré dispositivo literalmente a cualquier cosa que tenga de algún modo la capacidad de capturar, orientar, determinar, interceptar, modelar, controlar y asegurar los gestos, las conductas, las opiniones y los discursos de los seres vivos. No solamente, entonces, las cárceles, los manicomios, el Panóptico, las escuelas, la confesión, las fábricas, las disciplinas, las medidas jurídicas, etc., cuya conexión con el poder es en cierto sentido evidente; sino también la pluma, la escritura, la literatura, la filosofía, la agricultura, el cigarro, la navegación, las computadoras, los teléfonos móviles y —¿por qué no?— el lenguaje mismo, que es quizá el más antiguo de los dispositivos, en el cual millares y millares de años atrás un primate —probablemente sin darse cuenta de las consecuencias que iba a enfrentar— tuvo la inconsciencia de hacerse capturar”</w:t>
      </w:r>
      <w:r>
        <w:rPr>
          <w:sz w:val="18"/>
          <w:szCs w:val="18"/>
        </w:rPr>
        <w:t xml:space="preserve"> (</w:t>
      </w:r>
      <w:proofErr w:type="spellStart"/>
      <w:r>
        <w:rPr>
          <w:sz w:val="18"/>
          <w:szCs w:val="18"/>
        </w:rPr>
        <w:t>Agamben</w:t>
      </w:r>
      <w:proofErr w:type="spellEnd"/>
      <w:r>
        <w:rPr>
          <w:sz w:val="18"/>
          <w:szCs w:val="18"/>
        </w:rPr>
        <w:t>, 2006,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EC"/>
    <w:rsid w:val="00015DA0"/>
    <w:rsid w:val="00021841"/>
    <w:rsid w:val="000219B3"/>
    <w:rsid w:val="00031909"/>
    <w:rsid w:val="00033058"/>
    <w:rsid w:val="00047666"/>
    <w:rsid w:val="00050829"/>
    <w:rsid w:val="00054DE4"/>
    <w:rsid w:val="00056913"/>
    <w:rsid w:val="000615DD"/>
    <w:rsid w:val="00062DA6"/>
    <w:rsid w:val="000632FF"/>
    <w:rsid w:val="00064078"/>
    <w:rsid w:val="00066E63"/>
    <w:rsid w:val="00081866"/>
    <w:rsid w:val="00094AC6"/>
    <w:rsid w:val="000A2124"/>
    <w:rsid w:val="000A3933"/>
    <w:rsid w:val="000A4086"/>
    <w:rsid w:val="000A670E"/>
    <w:rsid w:val="000A6D01"/>
    <w:rsid w:val="000B04C6"/>
    <w:rsid w:val="000B43D9"/>
    <w:rsid w:val="000B752B"/>
    <w:rsid w:val="000C3143"/>
    <w:rsid w:val="000C437A"/>
    <w:rsid w:val="000D0241"/>
    <w:rsid w:val="000D22C7"/>
    <w:rsid w:val="000D78FD"/>
    <w:rsid w:val="000E470D"/>
    <w:rsid w:val="000F5720"/>
    <w:rsid w:val="000F5C4E"/>
    <w:rsid w:val="0010012D"/>
    <w:rsid w:val="00100813"/>
    <w:rsid w:val="00111435"/>
    <w:rsid w:val="00114076"/>
    <w:rsid w:val="001354E2"/>
    <w:rsid w:val="00157A12"/>
    <w:rsid w:val="001830A0"/>
    <w:rsid w:val="00183DEE"/>
    <w:rsid w:val="001B0615"/>
    <w:rsid w:val="001B492E"/>
    <w:rsid w:val="001C3A6A"/>
    <w:rsid w:val="001C44C9"/>
    <w:rsid w:val="001C766D"/>
    <w:rsid w:val="001E2F85"/>
    <w:rsid w:val="001E481F"/>
    <w:rsid w:val="001F066E"/>
    <w:rsid w:val="001F1989"/>
    <w:rsid w:val="001F647D"/>
    <w:rsid w:val="001F76AD"/>
    <w:rsid w:val="002021CA"/>
    <w:rsid w:val="00211108"/>
    <w:rsid w:val="00222175"/>
    <w:rsid w:val="002224FC"/>
    <w:rsid w:val="0023497C"/>
    <w:rsid w:val="00236E29"/>
    <w:rsid w:val="002372B3"/>
    <w:rsid w:val="00237CC9"/>
    <w:rsid w:val="00245CC6"/>
    <w:rsid w:val="00246006"/>
    <w:rsid w:val="0026236E"/>
    <w:rsid w:val="00262959"/>
    <w:rsid w:val="00264843"/>
    <w:rsid w:val="00283261"/>
    <w:rsid w:val="0028794D"/>
    <w:rsid w:val="00290070"/>
    <w:rsid w:val="0029177A"/>
    <w:rsid w:val="00294415"/>
    <w:rsid w:val="002A3512"/>
    <w:rsid w:val="002A3700"/>
    <w:rsid w:val="002B5229"/>
    <w:rsid w:val="002D0D52"/>
    <w:rsid w:val="002D13DF"/>
    <w:rsid w:val="002D3A82"/>
    <w:rsid w:val="002D6B01"/>
    <w:rsid w:val="002D7F55"/>
    <w:rsid w:val="002F2EF3"/>
    <w:rsid w:val="002F5C0D"/>
    <w:rsid w:val="00304665"/>
    <w:rsid w:val="003207A0"/>
    <w:rsid w:val="00352256"/>
    <w:rsid w:val="0036777A"/>
    <w:rsid w:val="00373B64"/>
    <w:rsid w:val="00382DB3"/>
    <w:rsid w:val="0039119D"/>
    <w:rsid w:val="00392DA4"/>
    <w:rsid w:val="003932B4"/>
    <w:rsid w:val="0039602E"/>
    <w:rsid w:val="003B18DF"/>
    <w:rsid w:val="003C04C9"/>
    <w:rsid w:val="003F25F8"/>
    <w:rsid w:val="003F3121"/>
    <w:rsid w:val="003F3E14"/>
    <w:rsid w:val="003F631E"/>
    <w:rsid w:val="00402CC0"/>
    <w:rsid w:val="00406902"/>
    <w:rsid w:val="00407437"/>
    <w:rsid w:val="004123E4"/>
    <w:rsid w:val="00414CDD"/>
    <w:rsid w:val="00442DF6"/>
    <w:rsid w:val="00451858"/>
    <w:rsid w:val="00453DC6"/>
    <w:rsid w:val="0046033E"/>
    <w:rsid w:val="00462828"/>
    <w:rsid w:val="00462831"/>
    <w:rsid w:val="00480BEC"/>
    <w:rsid w:val="004A0985"/>
    <w:rsid w:val="004A22FC"/>
    <w:rsid w:val="004A47F2"/>
    <w:rsid w:val="004B6CAA"/>
    <w:rsid w:val="004C305A"/>
    <w:rsid w:val="004C5526"/>
    <w:rsid w:val="004D1D99"/>
    <w:rsid w:val="004D6D7C"/>
    <w:rsid w:val="004D71C0"/>
    <w:rsid w:val="004E7114"/>
    <w:rsid w:val="004F4DEB"/>
    <w:rsid w:val="00510134"/>
    <w:rsid w:val="0051048A"/>
    <w:rsid w:val="00513EA8"/>
    <w:rsid w:val="00525A55"/>
    <w:rsid w:val="005310E6"/>
    <w:rsid w:val="0054081E"/>
    <w:rsid w:val="00545D2A"/>
    <w:rsid w:val="005503F3"/>
    <w:rsid w:val="00551C14"/>
    <w:rsid w:val="00555562"/>
    <w:rsid w:val="005560D3"/>
    <w:rsid w:val="00556793"/>
    <w:rsid w:val="005701A3"/>
    <w:rsid w:val="00577BEA"/>
    <w:rsid w:val="00581AB7"/>
    <w:rsid w:val="00581FD9"/>
    <w:rsid w:val="0058259C"/>
    <w:rsid w:val="005924D1"/>
    <w:rsid w:val="00596E40"/>
    <w:rsid w:val="0059783E"/>
    <w:rsid w:val="00597DEB"/>
    <w:rsid w:val="005A157F"/>
    <w:rsid w:val="005A5090"/>
    <w:rsid w:val="005B5792"/>
    <w:rsid w:val="005D4285"/>
    <w:rsid w:val="005E5A2F"/>
    <w:rsid w:val="0060096E"/>
    <w:rsid w:val="00604745"/>
    <w:rsid w:val="00604B5A"/>
    <w:rsid w:val="00607E84"/>
    <w:rsid w:val="00610E68"/>
    <w:rsid w:val="00616A8C"/>
    <w:rsid w:val="00640B8B"/>
    <w:rsid w:val="00655217"/>
    <w:rsid w:val="006577D6"/>
    <w:rsid w:val="00662DD4"/>
    <w:rsid w:val="00663DD7"/>
    <w:rsid w:val="00664877"/>
    <w:rsid w:val="00675764"/>
    <w:rsid w:val="0067602E"/>
    <w:rsid w:val="006766EF"/>
    <w:rsid w:val="00680C46"/>
    <w:rsid w:val="006853E7"/>
    <w:rsid w:val="00696552"/>
    <w:rsid w:val="00697C38"/>
    <w:rsid w:val="006A2746"/>
    <w:rsid w:val="006A3D73"/>
    <w:rsid w:val="006B2BEC"/>
    <w:rsid w:val="006B65EE"/>
    <w:rsid w:val="006C7694"/>
    <w:rsid w:val="006E69C5"/>
    <w:rsid w:val="006F08DE"/>
    <w:rsid w:val="00710E4C"/>
    <w:rsid w:val="00712726"/>
    <w:rsid w:val="00716C26"/>
    <w:rsid w:val="007242AD"/>
    <w:rsid w:val="00726DF8"/>
    <w:rsid w:val="00730D43"/>
    <w:rsid w:val="00737F58"/>
    <w:rsid w:val="00741B1B"/>
    <w:rsid w:val="00751CBE"/>
    <w:rsid w:val="00761FFA"/>
    <w:rsid w:val="007637B6"/>
    <w:rsid w:val="00781188"/>
    <w:rsid w:val="00784A79"/>
    <w:rsid w:val="007939E3"/>
    <w:rsid w:val="00793DC2"/>
    <w:rsid w:val="007979FF"/>
    <w:rsid w:val="007A59D1"/>
    <w:rsid w:val="007C7C99"/>
    <w:rsid w:val="007D798F"/>
    <w:rsid w:val="007E0AEB"/>
    <w:rsid w:val="007E41E5"/>
    <w:rsid w:val="007F2115"/>
    <w:rsid w:val="007F27ED"/>
    <w:rsid w:val="007F4346"/>
    <w:rsid w:val="007F75D3"/>
    <w:rsid w:val="008011D9"/>
    <w:rsid w:val="00802AD0"/>
    <w:rsid w:val="008123B7"/>
    <w:rsid w:val="008316F3"/>
    <w:rsid w:val="008320AD"/>
    <w:rsid w:val="00834EE9"/>
    <w:rsid w:val="008368F8"/>
    <w:rsid w:val="00867005"/>
    <w:rsid w:val="00867E95"/>
    <w:rsid w:val="008730EF"/>
    <w:rsid w:val="00892D54"/>
    <w:rsid w:val="008956DE"/>
    <w:rsid w:val="008A53EF"/>
    <w:rsid w:val="008A54E2"/>
    <w:rsid w:val="008B0E92"/>
    <w:rsid w:val="008B414F"/>
    <w:rsid w:val="008C40C0"/>
    <w:rsid w:val="008C61B2"/>
    <w:rsid w:val="008C6D5A"/>
    <w:rsid w:val="008C7A5A"/>
    <w:rsid w:val="008E0489"/>
    <w:rsid w:val="008E51BF"/>
    <w:rsid w:val="00903A9C"/>
    <w:rsid w:val="0091124B"/>
    <w:rsid w:val="00913F77"/>
    <w:rsid w:val="00914014"/>
    <w:rsid w:val="00932DAD"/>
    <w:rsid w:val="00934146"/>
    <w:rsid w:val="009522AA"/>
    <w:rsid w:val="00953D57"/>
    <w:rsid w:val="00957D9B"/>
    <w:rsid w:val="00964C03"/>
    <w:rsid w:val="009724BB"/>
    <w:rsid w:val="00975030"/>
    <w:rsid w:val="00980D72"/>
    <w:rsid w:val="00983412"/>
    <w:rsid w:val="00983A9F"/>
    <w:rsid w:val="0099058C"/>
    <w:rsid w:val="009969FB"/>
    <w:rsid w:val="009A2F5D"/>
    <w:rsid w:val="009B6FEB"/>
    <w:rsid w:val="009C4DA8"/>
    <w:rsid w:val="009C63C3"/>
    <w:rsid w:val="009D3456"/>
    <w:rsid w:val="009E3690"/>
    <w:rsid w:val="009E3855"/>
    <w:rsid w:val="009E5C17"/>
    <w:rsid w:val="009F1028"/>
    <w:rsid w:val="00A0009B"/>
    <w:rsid w:val="00A00A37"/>
    <w:rsid w:val="00A00B56"/>
    <w:rsid w:val="00A05560"/>
    <w:rsid w:val="00A06AC7"/>
    <w:rsid w:val="00A119D2"/>
    <w:rsid w:val="00A25E4F"/>
    <w:rsid w:val="00A34A8D"/>
    <w:rsid w:val="00A42B40"/>
    <w:rsid w:val="00A47E20"/>
    <w:rsid w:val="00A5009C"/>
    <w:rsid w:val="00A81F38"/>
    <w:rsid w:val="00A820A9"/>
    <w:rsid w:val="00A86399"/>
    <w:rsid w:val="00A902C2"/>
    <w:rsid w:val="00A909A3"/>
    <w:rsid w:val="00AA1E76"/>
    <w:rsid w:val="00AA41D8"/>
    <w:rsid w:val="00AB7385"/>
    <w:rsid w:val="00AC59CF"/>
    <w:rsid w:val="00AC7749"/>
    <w:rsid w:val="00AD09CC"/>
    <w:rsid w:val="00AD11AD"/>
    <w:rsid w:val="00AD291C"/>
    <w:rsid w:val="00AD3437"/>
    <w:rsid w:val="00AD5666"/>
    <w:rsid w:val="00AE4E69"/>
    <w:rsid w:val="00AF47B2"/>
    <w:rsid w:val="00B036E5"/>
    <w:rsid w:val="00B065DD"/>
    <w:rsid w:val="00B14424"/>
    <w:rsid w:val="00B1467B"/>
    <w:rsid w:val="00B15AF5"/>
    <w:rsid w:val="00B2088B"/>
    <w:rsid w:val="00B25F6D"/>
    <w:rsid w:val="00B271A4"/>
    <w:rsid w:val="00B332E5"/>
    <w:rsid w:val="00B37CB6"/>
    <w:rsid w:val="00B423EC"/>
    <w:rsid w:val="00B42E13"/>
    <w:rsid w:val="00B46524"/>
    <w:rsid w:val="00B57A56"/>
    <w:rsid w:val="00B65BE3"/>
    <w:rsid w:val="00B65F40"/>
    <w:rsid w:val="00B72A22"/>
    <w:rsid w:val="00B7422C"/>
    <w:rsid w:val="00B75064"/>
    <w:rsid w:val="00B766DD"/>
    <w:rsid w:val="00B830EE"/>
    <w:rsid w:val="00B8523B"/>
    <w:rsid w:val="00B96674"/>
    <w:rsid w:val="00B970AC"/>
    <w:rsid w:val="00B97E24"/>
    <w:rsid w:val="00BA19B5"/>
    <w:rsid w:val="00BB223C"/>
    <w:rsid w:val="00BB305B"/>
    <w:rsid w:val="00BB4350"/>
    <w:rsid w:val="00BB5A8B"/>
    <w:rsid w:val="00BC2999"/>
    <w:rsid w:val="00BC634F"/>
    <w:rsid w:val="00BD0044"/>
    <w:rsid w:val="00BD0462"/>
    <w:rsid w:val="00BD0862"/>
    <w:rsid w:val="00BD331D"/>
    <w:rsid w:val="00BD3C65"/>
    <w:rsid w:val="00BD7AE8"/>
    <w:rsid w:val="00BE2799"/>
    <w:rsid w:val="00BF3148"/>
    <w:rsid w:val="00BF6C35"/>
    <w:rsid w:val="00C00495"/>
    <w:rsid w:val="00C157B6"/>
    <w:rsid w:val="00C36469"/>
    <w:rsid w:val="00C43160"/>
    <w:rsid w:val="00C56406"/>
    <w:rsid w:val="00C576FB"/>
    <w:rsid w:val="00C60FD3"/>
    <w:rsid w:val="00C621FD"/>
    <w:rsid w:val="00C77388"/>
    <w:rsid w:val="00C779CC"/>
    <w:rsid w:val="00C82EF9"/>
    <w:rsid w:val="00C9037E"/>
    <w:rsid w:val="00C92150"/>
    <w:rsid w:val="00CA0C2F"/>
    <w:rsid w:val="00CA6559"/>
    <w:rsid w:val="00CB4D42"/>
    <w:rsid w:val="00CB7780"/>
    <w:rsid w:val="00CB7D3E"/>
    <w:rsid w:val="00CC4AA9"/>
    <w:rsid w:val="00CC5E95"/>
    <w:rsid w:val="00CD3494"/>
    <w:rsid w:val="00CD3B22"/>
    <w:rsid w:val="00CD414F"/>
    <w:rsid w:val="00CF0BAA"/>
    <w:rsid w:val="00CF14D3"/>
    <w:rsid w:val="00CF1B33"/>
    <w:rsid w:val="00CF7A7B"/>
    <w:rsid w:val="00D06B98"/>
    <w:rsid w:val="00D11727"/>
    <w:rsid w:val="00D15057"/>
    <w:rsid w:val="00D22903"/>
    <w:rsid w:val="00D27926"/>
    <w:rsid w:val="00D401EC"/>
    <w:rsid w:val="00D4606B"/>
    <w:rsid w:val="00D46EE1"/>
    <w:rsid w:val="00D54B86"/>
    <w:rsid w:val="00D55971"/>
    <w:rsid w:val="00D61E0D"/>
    <w:rsid w:val="00D636D2"/>
    <w:rsid w:val="00D66FD5"/>
    <w:rsid w:val="00D6789C"/>
    <w:rsid w:val="00D705E1"/>
    <w:rsid w:val="00D73EFB"/>
    <w:rsid w:val="00D75205"/>
    <w:rsid w:val="00D775BD"/>
    <w:rsid w:val="00D86BE6"/>
    <w:rsid w:val="00D8771E"/>
    <w:rsid w:val="00D94602"/>
    <w:rsid w:val="00D94ED5"/>
    <w:rsid w:val="00DA2AE4"/>
    <w:rsid w:val="00DA4E6B"/>
    <w:rsid w:val="00DA7061"/>
    <w:rsid w:val="00DB617A"/>
    <w:rsid w:val="00DC15CF"/>
    <w:rsid w:val="00DC429A"/>
    <w:rsid w:val="00DD6C97"/>
    <w:rsid w:val="00DE08A3"/>
    <w:rsid w:val="00DE27B6"/>
    <w:rsid w:val="00DF27D7"/>
    <w:rsid w:val="00E02A79"/>
    <w:rsid w:val="00E077FF"/>
    <w:rsid w:val="00E138FA"/>
    <w:rsid w:val="00E2256A"/>
    <w:rsid w:val="00E24F4A"/>
    <w:rsid w:val="00E263DD"/>
    <w:rsid w:val="00E30F0A"/>
    <w:rsid w:val="00E43CA3"/>
    <w:rsid w:val="00E456B1"/>
    <w:rsid w:val="00E4752A"/>
    <w:rsid w:val="00E52235"/>
    <w:rsid w:val="00E60871"/>
    <w:rsid w:val="00E65981"/>
    <w:rsid w:val="00E704A6"/>
    <w:rsid w:val="00E70924"/>
    <w:rsid w:val="00E801DC"/>
    <w:rsid w:val="00E90A49"/>
    <w:rsid w:val="00E973BC"/>
    <w:rsid w:val="00E97777"/>
    <w:rsid w:val="00EA72B2"/>
    <w:rsid w:val="00EA75A5"/>
    <w:rsid w:val="00EA7EC6"/>
    <w:rsid w:val="00EB229F"/>
    <w:rsid w:val="00EB76D8"/>
    <w:rsid w:val="00EC4C8D"/>
    <w:rsid w:val="00EC6A5F"/>
    <w:rsid w:val="00ED31B8"/>
    <w:rsid w:val="00ED38A5"/>
    <w:rsid w:val="00ED6062"/>
    <w:rsid w:val="00ED60E1"/>
    <w:rsid w:val="00EF0A95"/>
    <w:rsid w:val="00EF7646"/>
    <w:rsid w:val="00F034C0"/>
    <w:rsid w:val="00F104B8"/>
    <w:rsid w:val="00F10979"/>
    <w:rsid w:val="00F30A8E"/>
    <w:rsid w:val="00F331A9"/>
    <w:rsid w:val="00F4151A"/>
    <w:rsid w:val="00F44C4E"/>
    <w:rsid w:val="00F475EE"/>
    <w:rsid w:val="00F50E37"/>
    <w:rsid w:val="00F56891"/>
    <w:rsid w:val="00F61339"/>
    <w:rsid w:val="00F73DE0"/>
    <w:rsid w:val="00F84EE4"/>
    <w:rsid w:val="00FC22F8"/>
    <w:rsid w:val="00FC4E87"/>
    <w:rsid w:val="00FC6F68"/>
    <w:rsid w:val="00FC6FD9"/>
    <w:rsid w:val="00FC7C1F"/>
    <w:rsid w:val="00FD415B"/>
    <w:rsid w:val="00FD4E17"/>
    <w:rsid w:val="00FE3895"/>
    <w:rsid w:val="00FF137B"/>
    <w:rsid w:val="00FF735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EC"/>
    <w:rPr>
      <w:lang w:val="es-AR"/>
    </w:rPr>
  </w:style>
  <w:style w:type="paragraph" w:styleId="Ttulo2">
    <w:name w:val="heading 2"/>
    <w:basedOn w:val="Normal"/>
    <w:next w:val="Normal"/>
    <w:link w:val="Ttulo2Car"/>
    <w:uiPriority w:val="9"/>
    <w:semiHidden/>
    <w:unhideWhenUsed/>
    <w:qFormat/>
    <w:rsid w:val="00EB76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D401E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401EC"/>
    <w:rPr>
      <w:sz w:val="20"/>
      <w:szCs w:val="20"/>
      <w:lang w:val="es-AR"/>
    </w:rPr>
  </w:style>
  <w:style w:type="paragraph" w:styleId="Textonotapie">
    <w:name w:val="footnote text"/>
    <w:basedOn w:val="Normal"/>
    <w:link w:val="TextonotapieCar"/>
    <w:uiPriority w:val="99"/>
    <w:semiHidden/>
    <w:unhideWhenUsed/>
    <w:rsid w:val="00D401EC"/>
    <w:pPr>
      <w:spacing w:line="240" w:lineRule="auto"/>
    </w:pPr>
    <w:rPr>
      <w:sz w:val="20"/>
      <w:szCs w:val="20"/>
      <w:lang w:val="es-ES"/>
    </w:rPr>
  </w:style>
  <w:style w:type="character" w:customStyle="1" w:styleId="TextonotapieCar">
    <w:name w:val="Texto nota pie Car"/>
    <w:basedOn w:val="Fuentedeprrafopredeter"/>
    <w:link w:val="Textonotapie"/>
    <w:uiPriority w:val="99"/>
    <w:semiHidden/>
    <w:rsid w:val="00D401EC"/>
    <w:rPr>
      <w:sz w:val="20"/>
      <w:szCs w:val="20"/>
    </w:rPr>
  </w:style>
  <w:style w:type="character" w:styleId="Refdenotaalpie">
    <w:name w:val="footnote reference"/>
    <w:basedOn w:val="Fuentedeprrafopredeter"/>
    <w:uiPriority w:val="99"/>
    <w:semiHidden/>
    <w:unhideWhenUsed/>
    <w:rsid w:val="00D401EC"/>
    <w:rPr>
      <w:vertAlign w:val="superscript"/>
    </w:rPr>
  </w:style>
  <w:style w:type="character" w:styleId="Hipervnculo">
    <w:name w:val="Hyperlink"/>
    <w:basedOn w:val="Fuentedeprrafopredeter"/>
    <w:uiPriority w:val="99"/>
    <w:unhideWhenUsed/>
    <w:rsid w:val="000219B3"/>
    <w:rPr>
      <w:color w:val="0000FF" w:themeColor="hyperlink"/>
      <w:u w:val="single"/>
    </w:rPr>
  </w:style>
  <w:style w:type="character" w:styleId="Refdenotaalfinal">
    <w:name w:val="endnote reference"/>
    <w:basedOn w:val="Fuentedeprrafopredeter"/>
    <w:uiPriority w:val="99"/>
    <w:semiHidden/>
    <w:unhideWhenUsed/>
    <w:rsid w:val="00E4752A"/>
    <w:rPr>
      <w:vertAlign w:val="superscript"/>
    </w:rPr>
  </w:style>
  <w:style w:type="character" w:customStyle="1" w:styleId="Ttulo2Car">
    <w:name w:val="Título 2 Car"/>
    <w:basedOn w:val="Fuentedeprrafopredeter"/>
    <w:link w:val="Ttulo2"/>
    <w:uiPriority w:val="9"/>
    <w:semiHidden/>
    <w:rsid w:val="00EB76D8"/>
    <w:rPr>
      <w:rFonts w:asciiTheme="majorHAnsi" w:eastAsiaTheme="majorEastAsia" w:hAnsiTheme="majorHAnsi" w:cstheme="majorBidi"/>
      <w:b/>
      <w:bCs/>
      <w:color w:val="4F81BD" w:themeColor="accent1"/>
      <w:sz w:val="26"/>
      <w:szCs w:val="26"/>
      <w:lang w:val="es-AR"/>
    </w:rPr>
  </w:style>
  <w:style w:type="character" w:styleId="Hipervnculovisitado">
    <w:name w:val="FollowedHyperlink"/>
    <w:basedOn w:val="Fuentedeprrafopredeter"/>
    <w:uiPriority w:val="99"/>
    <w:semiHidden/>
    <w:unhideWhenUsed/>
    <w:rsid w:val="008316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EC"/>
    <w:rPr>
      <w:lang w:val="es-AR"/>
    </w:rPr>
  </w:style>
  <w:style w:type="paragraph" w:styleId="Ttulo2">
    <w:name w:val="heading 2"/>
    <w:basedOn w:val="Normal"/>
    <w:next w:val="Normal"/>
    <w:link w:val="Ttulo2Car"/>
    <w:uiPriority w:val="9"/>
    <w:semiHidden/>
    <w:unhideWhenUsed/>
    <w:qFormat/>
    <w:rsid w:val="00EB76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D401E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401EC"/>
    <w:rPr>
      <w:sz w:val="20"/>
      <w:szCs w:val="20"/>
      <w:lang w:val="es-AR"/>
    </w:rPr>
  </w:style>
  <w:style w:type="paragraph" w:styleId="Textonotapie">
    <w:name w:val="footnote text"/>
    <w:basedOn w:val="Normal"/>
    <w:link w:val="TextonotapieCar"/>
    <w:uiPriority w:val="99"/>
    <w:semiHidden/>
    <w:unhideWhenUsed/>
    <w:rsid w:val="00D401EC"/>
    <w:pPr>
      <w:spacing w:line="240" w:lineRule="auto"/>
    </w:pPr>
    <w:rPr>
      <w:sz w:val="20"/>
      <w:szCs w:val="20"/>
      <w:lang w:val="es-ES"/>
    </w:rPr>
  </w:style>
  <w:style w:type="character" w:customStyle="1" w:styleId="TextonotapieCar">
    <w:name w:val="Texto nota pie Car"/>
    <w:basedOn w:val="Fuentedeprrafopredeter"/>
    <w:link w:val="Textonotapie"/>
    <w:uiPriority w:val="99"/>
    <w:semiHidden/>
    <w:rsid w:val="00D401EC"/>
    <w:rPr>
      <w:sz w:val="20"/>
      <w:szCs w:val="20"/>
    </w:rPr>
  </w:style>
  <w:style w:type="character" w:styleId="Refdenotaalpie">
    <w:name w:val="footnote reference"/>
    <w:basedOn w:val="Fuentedeprrafopredeter"/>
    <w:uiPriority w:val="99"/>
    <w:semiHidden/>
    <w:unhideWhenUsed/>
    <w:rsid w:val="00D401EC"/>
    <w:rPr>
      <w:vertAlign w:val="superscript"/>
    </w:rPr>
  </w:style>
  <w:style w:type="character" w:styleId="Hipervnculo">
    <w:name w:val="Hyperlink"/>
    <w:basedOn w:val="Fuentedeprrafopredeter"/>
    <w:uiPriority w:val="99"/>
    <w:unhideWhenUsed/>
    <w:rsid w:val="000219B3"/>
    <w:rPr>
      <w:color w:val="0000FF" w:themeColor="hyperlink"/>
      <w:u w:val="single"/>
    </w:rPr>
  </w:style>
  <w:style w:type="character" w:styleId="Refdenotaalfinal">
    <w:name w:val="endnote reference"/>
    <w:basedOn w:val="Fuentedeprrafopredeter"/>
    <w:uiPriority w:val="99"/>
    <w:semiHidden/>
    <w:unhideWhenUsed/>
    <w:rsid w:val="00E4752A"/>
    <w:rPr>
      <w:vertAlign w:val="superscript"/>
    </w:rPr>
  </w:style>
  <w:style w:type="character" w:customStyle="1" w:styleId="Ttulo2Car">
    <w:name w:val="Título 2 Car"/>
    <w:basedOn w:val="Fuentedeprrafopredeter"/>
    <w:link w:val="Ttulo2"/>
    <w:uiPriority w:val="9"/>
    <w:semiHidden/>
    <w:rsid w:val="00EB76D8"/>
    <w:rPr>
      <w:rFonts w:asciiTheme="majorHAnsi" w:eastAsiaTheme="majorEastAsia" w:hAnsiTheme="majorHAnsi" w:cstheme="majorBidi"/>
      <w:b/>
      <w:bCs/>
      <w:color w:val="4F81BD" w:themeColor="accent1"/>
      <w:sz w:val="26"/>
      <w:szCs w:val="26"/>
      <w:lang w:val="es-AR"/>
    </w:rPr>
  </w:style>
  <w:style w:type="character" w:styleId="Hipervnculovisitado">
    <w:name w:val="FollowedHyperlink"/>
    <w:basedOn w:val="Fuentedeprrafopredeter"/>
    <w:uiPriority w:val="99"/>
    <w:semiHidden/>
    <w:unhideWhenUsed/>
    <w:rsid w:val="00831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10223">
      <w:bodyDiv w:val="1"/>
      <w:marLeft w:val="0"/>
      <w:marRight w:val="0"/>
      <w:marTop w:val="0"/>
      <w:marBottom w:val="0"/>
      <w:divBdr>
        <w:top w:val="none" w:sz="0" w:space="0" w:color="auto"/>
        <w:left w:val="none" w:sz="0" w:space="0" w:color="auto"/>
        <w:bottom w:val="none" w:sz="0" w:space="0" w:color="auto"/>
        <w:right w:val="none" w:sz="0" w:space="0" w:color="auto"/>
      </w:divBdr>
    </w:div>
    <w:div w:id="943464634">
      <w:bodyDiv w:val="1"/>
      <w:marLeft w:val="0"/>
      <w:marRight w:val="0"/>
      <w:marTop w:val="0"/>
      <w:marBottom w:val="0"/>
      <w:divBdr>
        <w:top w:val="none" w:sz="0" w:space="0" w:color="auto"/>
        <w:left w:val="none" w:sz="0" w:space="0" w:color="auto"/>
        <w:bottom w:val="none" w:sz="0" w:space="0" w:color="auto"/>
        <w:right w:val="none" w:sz="0" w:space="0" w:color="auto"/>
      </w:divBdr>
    </w:div>
    <w:div w:id="1135492993">
      <w:bodyDiv w:val="1"/>
      <w:marLeft w:val="0"/>
      <w:marRight w:val="0"/>
      <w:marTop w:val="0"/>
      <w:marBottom w:val="0"/>
      <w:divBdr>
        <w:top w:val="none" w:sz="0" w:space="0" w:color="auto"/>
        <w:left w:val="none" w:sz="0" w:space="0" w:color="auto"/>
        <w:bottom w:val="none" w:sz="0" w:space="0" w:color="auto"/>
        <w:right w:val="none" w:sz="0" w:space="0" w:color="auto"/>
      </w:divBdr>
    </w:div>
    <w:div w:id="1446387477">
      <w:bodyDiv w:val="1"/>
      <w:marLeft w:val="0"/>
      <w:marRight w:val="0"/>
      <w:marTop w:val="0"/>
      <w:marBottom w:val="0"/>
      <w:divBdr>
        <w:top w:val="none" w:sz="0" w:space="0" w:color="auto"/>
        <w:left w:val="none" w:sz="0" w:space="0" w:color="auto"/>
        <w:bottom w:val="none" w:sz="0" w:space="0" w:color="auto"/>
        <w:right w:val="none" w:sz="0" w:space="0" w:color="auto"/>
      </w:divBdr>
    </w:div>
    <w:div w:id="184196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raposo61@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vantesvirtual.com/obra/jeronimo-munzer-viaje-por-espana-y-portugal-en-los-anos-1494-y-1495-conclusion/" TargetMode="External"/><Relationship Id="rId5" Type="http://schemas.openxmlformats.org/officeDocument/2006/relationships/webSettings" Target="webSettings.xml"/><Relationship Id="rId10" Type="http://schemas.openxmlformats.org/officeDocument/2006/relationships/hyperlink" Target="https://dialnet.unirioja.es/servlet/articulo?codigo=5176619" TargetMode="External"/><Relationship Id="rId4" Type="http://schemas.openxmlformats.org/officeDocument/2006/relationships/settings" Target="settings.xml"/><Relationship Id="rId9" Type="http://schemas.openxmlformats.org/officeDocument/2006/relationships/hyperlink" Target="https://www.academia.edu/13541555/2_The_Image_of_the_Phoenix_in_Catalan_and_Castilian_Poetry_from_Ausi%C3%A0s_March_to_Cresp%C3%AD_de_Valldaur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prints.ucm.es/300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740B5-E0CE-4AD1-BD98-F3E41D8A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3568</Words>
  <Characters>19624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earriazu@yahoo.com.ar</cp:lastModifiedBy>
  <cp:revision>3</cp:revision>
  <dcterms:created xsi:type="dcterms:W3CDTF">2019-06-24T13:24:00Z</dcterms:created>
  <dcterms:modified xsi:type="dcterms:W3CDTF">2019-06-24T13:32:00Z</dcterms:modified>
</cp:coreProperties>
</file>