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A8" w:rsidRDefault="004426A8" w:rsidP="00DF5D22">
      <w:pPr>
        <w:jc w:val="center"/>
        <w:rPr>
          <w:b/>
          <w:i/>
        </w:rPr>
      </w:pPr>
      <w:r>
        <w:rPr>
          <w:b/>
        </w:rPr>
        <w:t xml:space="preserve">Humanidad parásita: el devenir animal en </w:t>
      </w:r>
      <w:r>
        <w:rPr>
          <w:b/>
          <w:i/>
        </w:rPr>
        <w:t>La chinche</w:t>
      </w:r>
    </w:p>
    <w:p w:rsidR="004426A8" w:rsidRPr="004426A8" w:rsidRDefault="004426A8" w:rsidP="00DF5D22">
      <w:pPr>
        <w:ind w:firstLine="709"/>
        <w:rPr>
          <w:b/>
          <w:i/>
        </w:rPr>
      </w:pPr>
    </w:p>
    <w:p w:rsidR="00E465F3" w:rsidRPr="00F20A8D" w:rsidRDefault="00BE431F" w:rsidP="00DF5D22">
      <w:pPr>
        <w:ind w:firstLine="709"/>
      </w:pPr>
      <w:r>
        <w:t xml:space="preserve">Escrita entre octubre y noviembre de 1928, </w:t>
      </w:r>
      <w:r w:rsidR="00F20A8D">
        <w:t xml:space="preserve">pero </w:t>
      </w:r>
      <w:r>
        <w:t xml:space="preserve">representada </w:t>
      </w:r>
      <w:r w:rsidR="00F20A8D">
        <w:t xml:space="preserve">recién </w:t>
      </w:r>
      <w:r>
        <w:t xml:space="preserve">a comienzos de </w:t>
      </w:r>
      <w:bookmarkStart w:id="0" w:name="_GoBack"/>
      <w:r>
        <w:t>1929</w:t>
      </w:r>
      <w:r>
        <w:rPr>
          <w:rStyle w:val="Refdenotaalpie"/>
        </w:rPr>
        <w:footnoteReference w:id="2"/>
      </w:r>
      <w:r w:rsidR="00F20A8D">
        <w:t xml:space="preserve">, </w:t>
      </w:r>
      <w:r w:rsidR="00F20A8D">
        <w:rPr>
          <w:i/>
        </w:rPr>
        <w:t>La chinche</w:t>
      </w:r>
      <w:r w:rsidR="00F20A8D">
        <w:t xml:space="preserve"> es una obra </w:t>
      </w:r>
      <w:r w:rsidR="00590FCE">
        <w:t xml:space="preserve">de teatro </w:t>
      </w:r>
      <w:r w:rsidR="00F20A8D">
        <w:t xml:space="preserve">que se mantiene vigente </w:t>
      </w:r>
      <w:r w:rsidR="00D05ADF">
        <w:t xml:space="preserve">hasta </w:t>
      </w:r>
      <w:r w:rsidR="00656271">
        <w:t>hoy –</w:t>
      </w:r>
      <w:r w:rsidR="00F20A8D">
        <w:t xml:space="preserve">casiun </w:t>
      </w:r>
      <w:bookmarkEnd w:id="0"/>
      <w:r w:rsidR="00F20A8D">
        <w:t>siglo más tarde.</w:t>
      </w:r>
      <w:r w:rsidR="00590FCE">
        <w:t xml:space="preserve">Desde un </w:t>
      </w:r>
      <w:r w:rsidR="00DA0C66">
        <w:t xml:space="preserve">inquietante cruce entre la utopía y la ciencia ficción, </w:t>
      </w:r>
      <w:r w:rsidR="00590FCE">
        <w:t xml:space="preserve">Vladimir </w:t>
      </w:r>
      <w:r w:rsidR="001045C6">
        <w:t>Maiakovski</w:t>
      </w:r>
      <w:r w:rsidR="00E465F3">
        <w:t xml:space="preserve"> recoge</w:t>
      </w:r>
      <w:r w:rsidR="00590FCE">
        <w:t xml:space="preserve"> la</w:t>
      </w:r>
      <w:r w:rsidR="001E2AF5">
        <w:t>s preocupa</w:t>
      </w:r>
      <w:r w:rsidR="00E465F3">
        <w:t xml:space="preserve">ciones </w:t>
      </w:r>
      <w:r w:rsidR="001E2AF5">
        <w:t>de la realidad soviética</w:t>
      </w:r>
      <w:r w:rsidR="00E465F3">
        <w:t xml:space="preserve"> que lo rodea. L</w:t>
      </w:r>
      <w:r w:rsidR="001E2AF5">
        <w:t>uego de la revolución y en el periodo de la Nueva Política Económica (NEP)</w:t>
      </w:r>
      <w:r w:rsidR="00E465F3">
        <w:t xml:space="preserve">, surgen problemáticas socioeconómicas </w:t>
      </w:r>
      <w:r w:rsidR="00514DAB">
        <w:t>que sirven de inspiración para el autor</w:t>
      </w:r>
      <w:r w:rsidR="001E2AF5">
        <w:t>.</w:t>
      </w:r>
      <w:r w:rsidR="00E828FB">
        <w:rPr>
          <w:rStyle w:val="Refdenotaalpie"/>
        </w:rPr>
        <w:footnoteReference w:id="3"/>
      </w:r>
      <w:r w:rsidR="00E465F3">
        <w:t>Sin embargo, si decimos que se destaca por su actualidad es porque trasciende los límites de su época y</w:t>
      </w:r>
      <w:r w:rsidR="00514DAB">
        <w:t xml:space="preserve"> no se limita a un planteo arraigado en el contexto geo</w:t>
      </w:r>
      <w:r w:rsidR="00120DB6">
        <w:t>-</w:t>
      </w:r>
      <w:r w:rsidR="00514DAB">
        <w:t>político</w:t>
      </w:r>
      <w:r w:rsidR="00656271">
        <w:t>. Su</w:t>
      </w:r>
      <w:r w:rsidR="00ED0043">
        <w:t xml:space="preserve"> valor</w:t>
      </w:r>
      <w:r w:rsidR="00E465F3">
        <w:t xml:space="preserve"> cultural perdura</w:t>
      </w:r>
      <w:r w:rsidR="00BF5521">
        <w:t xml:space="preserve">porque </w:t>
      </w:r>
      <w:r w:rsidR="001045C6">
        <w:t>Maiakovski</w:t>
      </w:r>
      <w:r w:rsidR="00E465F3">
        <w:t xml:space="preserve"> no sólo se pregunta por el futuro de la revolución socialista, sino por el futuro mismo de la humanidad</w:t>
      </w:r>
      <w:r w:rsidR="00656271">
        <w:t xml:space="preserve"> –y esa pregunta nos interpela</w:t>
      </w:r>
      <w:r w:rsidR="009E67C8">
        <w:t xml:space="preserve"> a todos. </w:t>
      </w:r>
    </w:p>
    <w:p w:rsidR="004D5689" w:rsidRDefault="009E67C8" w:rsidP="00DF5D22">
      <w:pPr>
        <w:ind w:firstLine="709"/>
      </w:pPr>
      <w:r>
        <w:t xml:space="preserve">Piero Raffa (1968) </w:t>
      </w:r>
      <w:r w:rsidR="00272922">
        <w:t>destaca el carácter comprometido de la litera</w:t>
      </w:r>
      <w:r w:rsidR="00EF0A48">
        <w:t xml:space="preserve">tura de </w:t>
      </w:r>
      <w:r w:rsidR="001045C6">
        <w:t>Maiakovski</w:t>
      </w:r>
      <w:r w:rsidR="00EF0A48">
        <w:t>;</w:t>
      </w:r>
      <w:r w:rsidR="00272922">
        <w:t xml:space="preserve"> específicamente</w:t>
      </w:r>
      <w:r w:rsidR="00EF0A48">
        <w:t>,</w:t>
      </w:r>
      <w:r w:rsidR="00272922">
        <w:t xml:space="preserve"> hace hincapié </w:t>
      </w:r>
      <w:r w:rsidR="00EF0A48">
        <w:t>en el teatro y en su</w:t>
      </w:r>
      <w:r w:rsidR="00272922">
        <w:t xml:space="preserve"> función política como “instrumento de lucha”(p.74)</w:t>
      </w:r>
      <w:r w:rsidR="009669B8">
        <w:t xml:space="preserve">. </w:t>
      </w:r>
      <w:r w:rsidR="00B33C51">
        <w:rPr>
          <w:i/>
        </w:rPr>
        <w:t>La chinche</w:t>
      </w:r>
      <w:r w:rsidR="00B33C51">
        <w:t xml:space="preserve"> cuenta la historia de Prisipkin, un ex-obrero con aspiraciones de lujo que es congelado</w:t>
      </w:r>
      <w:r w:rsidR="00844721">
        <w:t xml:space="preserve"> –por casualidad –y despierta cincuenta años más tarde</w:t>
      </w:r>
      <w:r w:rsidR="0075773B">
        <w:t xml:space="preserve"> en una sociedad muy diferente. </w:t>
      </w:r>
      <w:r w:rsidR="00870128">
        <w:t>El protagonista, m</w:t>
      </w:r>
      <w:r w:rsidR="0075773B">
        <w:t>ás allá de encarnar la figura de los “nepmany”</w:t>
      </w:r>
      <w:r w:rsidR="0075773B">
        <w:rPr>
          <w:rStyle w:val="Refdenotaalpie"/>
        </w:rPr>
        <w:footnoteReference w:id="4"/>
      </w:r>
      <w:r w:rsidR="00870128">
        <w:t xml:space="preserve"> y la problemática del surgimiento de los ideales pequeño burgueses, nos enfrenta a l</w:t>
      </w:r>
      <w:r w:rsidR="0075773B">
        <w:t xml:space="preserve">as contradicciones de </w:t>
      </w:r>
      <w:r w:rsidR="00870128">
        <w:t xml:space="preserve">un posible futuro </w:t>
      </w:r>
      <w:r w:rsidR="00497F77">
        <w:t>socialista. En esa incertidumbre de lo que podría ser, una nueva idea</w:t>
      </w:r>
      <w:r w:rsidR="001239C4">
        <w:t xml:space="preserve"> de humanidad nos lleva a preguntarnos: ¿qué es “lo humano”? ¿Dónde está el límite entre </w:t>
      </w:r>
      <w:r w:rsidR="008445DE">
        <w:t>hombres y</w:t>
      </w:r>
      <w:r w:rsidR="001239C4">
        <w:t xml:space="preserve"> animales</w:t>
      </w:r>
      <w:r w:rsidR="004D5689">
        <w:t>?</w:t>
      </w:r>
      <w:r w:rsidR="00DF5D22">
        <w:t xml:space="preserve"> </w:t>
      </w:r>
      <w:r w:rsidR="00415E74">
        <w:t xml:space="preserve">A partir de </w:t>
      </w:r>
      <w:r w:rsidR="004D5689">
        <w:t>est</w:t>
      </w:r>
      <w:r w:rsidR="00244487">
        <w:t xml:space="preserve">as inquietudes, </w:t>
      </w:r>
      <w:r w:rsidR="004D5689">
        <w:t xml:space="preserve">realizaremos un análisis </w:t>
      </w:r>
      <w:r w:rsidR="00415E74">
        <w:t>sobre</w:t>
      </w:r>
      <w:r w:rsidR="00DF5D22">
        <w:t xml:space="preserve"> </w:t>
      </w:r>
      <w:r w:rsidR="00D05ADF">
        <w:t>la</w:t>
      </w:r>
      <w:r w:rsidR="00B12CA3">
        <w:t xml:space="preserve"> animalidad en </w:t>
      </w:r>
      <w:r w:rsidR="004D5689">
        <w:t>la obra</w:t>
      </w:r>
      <w:r w:rsidR="00B12CA3">
        <w:t xml:space="preserve">. </w:t>
      </w:r>
    </w:p>
    <w:p w:rsidR="0012451C" w:rsidRDefault="00196B48" w:rsidP="00DF5D22">
      <w:pPr>
        <w:ind w:firstLine="709"/>
      </w:pPr>
      <w:r>
        <w:t xml:space="preserve">En </w:t>
      </w:r>
      <w:r w:rsidR="004D5689">
        <w:rPr>
          <w:i/>
        </w:rPr>
        <w:t>La chinche</w:t>
      </w:r>
      <w:r w:rsidR="00DF5D22">
        <w:t xml:space="preserve"> </w:t>
      </w:r>
      <w:r>
        <w:t>asistimos a un replanteamiento de la idea del hombre y a la discusión de su ubicación en un supuesto lugar de superioridad, con respect</w:t>
      </w:r>
      <w:r w:rsidR="00D05ADF">
        <w:t xml:space="preserve">o al resto de los seres vivos. </w:t>
      </w:r>
      <w:r w:rsidR="00247351">
        <w:t>El uso de la</w:t>
      </w:r>
      <w:r w:rsidR="00415E74">
        <w:t xml:space="preserve"> animalidad </w:t>
      </w:r>
      <w:r w:rsidR="00247351">
        <w:t>como</w:t>
      </w:r>
      <w:r w:rsidR="00415E74">
        <w:t xml:space="preserve"> recurso </w:t>
      </w:r>
      <w:r w:rsidR="00247351">
        <w:t>literario</w:t>
      </w:r>
      <w:r w:rsidR="00415E74">
        <w:t xml:space="preserve"> nos permite repensar la cuestión del animal y los problemas –éticos y metafísicos –que surgen en torno a esta, en relación a los modos del ser humano.</w:t>
      </w:r>
      <w:r w:rsidR="00DF5D22">
        <w:t xml:space="preserve"> </w:t>
      </w:r>
      <w:r w:rsidR="000E3344">
        <w:t>Conduciéndonos, finalmente, hacia un</w:t>
      </w:r>
      <w:r>
        <w:t xml:space="preserve"> planteo </w:t>
      </w:r>
      <w:r w:rsidR="004D5689">
        <w:lastRenderedPageBreak/>
        <w:t>filosófico</w:t>
      </w:r>
      <w:r w:rsidR="00E9788B">
        <w:t>,</w:t>
      </w:r>
      <w:r w:rsidR="00DF5D22">
        <w:t xml:space="preserve"> </w:t>
      </w:r>
      <w:r w:rsidR="000E3344">
        <w:t xml:space="preserve">donde </w:t>
      </w:r>
      <w:r w:rsidR="00CF6FE6">
        <w:t xml:space="preserve">animalidad y </w:t>
      </w:r>
      <w:r>
        <w:t>humanidad</w:t>
      </w:r>
      <w:r w:rsidR="004C1B4B">
        <w:t xml:space="preserve"> se vuelven conceptos relativos</w:t>
      </w:r>
      <w:r w:rsidR="000E3344">
        <w:t xml:space="preserve"> que</w:t>
      </w:r>
      <w:r w:rsidR="00D05ADF">
        <w:t xml:space="preserve"> devienen en multiplicidades</w:t>
      </w:r>
      <w:r w:rsidR="00BE6ACC">
        <w:t xml:space="preserve"> –</w:t>
      </w:r>
      <w:r>
        <w:t>en</w:t>
      </w:r>
      <w:r w:rsidR="000E3344">
        <w:t xml:space="preserve"> términos de Deleuze</w:t>
      </w:r>
      <w:r w:rsidR="00247351">
        <w:t>.</w:t>
      </w:r>
    </w:p>
    <w:p w:rsidR="008D04F0" w:rsidRDefault="002A09A2" w:rsidP="00DF5D22">
      <w:pPr>
        <w:ind w:firstLine="709"/>
      </w:pPr>
      <w:r>
        <w:t>Prisipkin es un “nepman” y d</w:t>
      </w:r>
      <w:r w:rsidR="003862E7">
        <w:t>esde un primer momento–</w:t>
      </w:r>
      <w:r w:rsidR="000E3344">
        <w:t>en</w:t>
      </w:r>
      <w:r w:rsidR="003862E7">
        <w:t xml:space="preserve"> los primeros cuadros I, II y III –</w:t>
      </w:r>
      <w:r>
        <w:t>vemos</w:t>
      </w:r>
      <w:r w:rsidR="00DF5D22">
        <w:t xml:space="preserve"> có</w:t>
      </w:r>
      <w:r>
        <w:t>mo la abundancia lo deslumbra. En la interacci</w:t>
      </w:r>
      <w:r w:rsidR="003862E7">
        <w:t>ón que establece con su entorno y</w:t>
      </w:r>
      <w:r>
        <w:t xml:space="preserve"> el mundo que lo rodea, adivinamos sus</w:t>
      </w:r>
      <w:r w:rsidR="00BE6ACC">
        <w:t xml:space="preserve"> valores </w:t>
      </w:r>
      <w:r w:rsidR="00E9788B">
        <w:t>e intereses.</w:t>
      </w:r>
      <w:r w:rsidR="005E1D42">
        <w:t>Es ambicioso</w:t>
      </w:r>
      <w:r>
        <w:t>, desea alcanzar la abun</w:t>
      </w:r>
      <w:r w:rsidR="005E1D42">
        <w:t>dancia y lo expresa sin tapujos:</w:t>
      </w:r>
      <w:r>
        <w:t xml:space="preserve"> “En mi casa tiene que haber de todo en abundancia. ¡Cómprelas, Rosalía Pávlovna!”</w:t>
      </w:r>
      <w:r w:rsidR="005E1D42">
        <w:t xml:space="preserve"> (Maiakovski, s.f.</w:t>
      </w:r>
      <w:r w:rsidR="008D04F0">
        <w:t>:</w:t>
      </w:r>
      <w:r w:rsidR="005E1D42">
        <w:t>6). Quiere todo lo que ve, aspira a</w:t>
      </w:r>
      <w:r w:rsidR="003862E7">
        <w:t xml:space="preserve"> la riqueza de lo material</w:t>
      </w:r>
      <w:r w:rsidR="005E1D42">
        <w:t>.</w:t>
      </w:r>
      <w:r w:rsidR="003862E7">
        <w:t xml:space="preserve"> En pocas palabras, </w:t>
      </w:r>
      <w:r w:rsidR="00DA6BF8">
        <w:t xml:space="preserve">es un ex-obrero que </w:t>
      </w:r>
      <w:r w:rsidR="003862E7">
        <w:t>a</w:t>
      </w:r>
      <w:r w:rsidR="005E1D42">
        <w:t xml:space="preserve">nhela </w:t>
      </w:r>
      <w:r w:rsidR="003862E7">
        <w:t>el lujo de la burguesía</w:t>
      </w:r>
      <w:r w:rsidR="004776D1">
        <w:t xml:space="preserve"> y representa “los resurgimientos pequeño-burgueses en una determinada fase de la evolución de la sociedad soviética” (Raffa, 1968:75). Sin embargo, esto no lo admite y disfraza sus propósitos personales como colectivos</w:t>
      </w:r>
      <w:r w:rsidR="008D04F0">
        <w:t xml:space="preserve">, presentando </w:t>
      </w:r>
      <w:r w:rsidR="004776D1">
        <w:t xml:space="preserve">sus tendencias burguesas como objetivos de la </w:t>
      </w:r>
      <w:r w:rsidR="008D605B">
        <w:t xml:space="preserve">lucha revolucionaria. </w:t>
      </w:r>
    </w:p>
    <w:p w:rsidR="00DA6BF8" w:rsidRDefault="008D605B" w:rsidP="00DF5D22">
      <w:pPr>
        <w:spacing w:line="240" w:lineRule="auto"/>
        <w:ind w:left="709" w:firstLine="709"/>
        <w:rPr>
          <w:sz w:val="20"/>
        </w:rPr>
      </w:pPr>
      <w:r w:rsidRPr="008D04F0">
        <w:rPr>
          <w:sz w:val="20"/>
        </w:rPr>
        <w:t>“</w:t>
      </w:r>
      <w:r w:rsidR="008D04F0">
        <w:rPr>
          <w:sz w:val="20"/>
        </w:rPr>
        <w:t xml:space="preserve">¿Para qué he luchado? </w:t>
      </w:r>
      <w:r w:rsidRPr="008D04F0">
        <w:rPr>
          <w:sz w:val="20"/>
        </w:rPr>
        <w:t>Luché por una vida mejor. Y he aquí que de pronto la tengo entre las manos: una mujer, una casa y un verdadero refinamiento en los modales</w:t>
      </w:r>
      <w:r w:rsidR="008D04F0" w:rsidRPr="008D04F0">
        <w:rPr>
          <w:sz w:val="20"/>
        </w:rPr>
        <w:t xml:space="preserve"> […] Aún puede ser que yo eleve a toda mi clase con mi sentido del confort. ¡Ea!” (Maiakovski, s.f.:16)</w:t>
      </w:r>
    </w:p>
    <w:p w:rsidR="00DF5D22" w:rsidRDefault="00DF5D22" w:rsidP="00DF5D22">
      <w:pPr>
        <w:spacing w:line="240" w:lineRule="auto"/>
        <w:ind w:left="709" w:firstLine="709"/>
        <w:rPr>
          <w:sz w:val="20"/>
        </w:rPr>
      </w:pPr>
    </w:p>
    <w:p w:rsidR="009D22F9" w:rsidRDefault="008D04F0" w:rsidP="00DF5D22">
      <w:pPr>
        <w:ind w:firstLine="709"/>
      </w:pPr>
      <w:r>
        <w:t xml:space="preserve">De este modo, </w:t>
      </w:r>
      <w:r w:rsidR="00422F0F">
        <w:t>l</w:t>
      </w:r>
      <w:r w:rsidR="004776D1">
        <w:t xml:space="preserve">a esencia del socialismo es tergiversada </w:t>
      </w:r>
      <w:r w:rsidR="00C57570">
        <w:t xml:space="preserve">y genera </w:t>
      </w:r>
      <w:r>
        <w:t>tensiones con los personajes</w:t>
      </w:r>
      <w:r w:rsidR="00DA6BF8">
        <w:t xml:space="preserve"> –obreros –</w:t>
      </w:r>
      <w:r>
        <w:t>que creen en el espíritu d</w:t>
      </w:r>
      <w:r w:rsidR="00DA6BF8">
        <w:t>e la revolución</w:t>
      </w:r>
      <w:r>
        <w:t>. Prisipkin “encarna la mistificación pequeño-burguesa de los ideales del socialismo”(1968:94)</w:t>
      </w:r>
      <w:r w:rsidR="009D22F9">
        <w:t xml:space="preserve"> y se aleja de su clase</w:t>
      </w:r>
      <w:r w:rsidR="00DA6BF8">
        <w:t xml:space="preserve">. </w:t>
      </w:r>
    </w:p>
    <w:p w:rsidR="00422F0F" w:rsidRDefault="00DA6BF8" w:rsidP="00DF5D22">
      <w:pPr>
        <w:ind w:firstLine="709"/>
      </w:pPr>
      <w:r>
        <w:t xml:space="preserve">La preocupación por la verdadera lucha obrera y el destino de la revolución, frente </w:t>
      </w:r>
      <w:r w:rsidR="008D04F0">
        <w:t>surgimiento de la</w:t>
      </w:r>
      <w:r w:rsidR="009D22F9">
        <w:t xml:space="preserve"> vulgaridad pequeño-burguesa, está</w:t>
      </w:r>
      <w:r w:rsidR="008D04F0">
        <w:t xml:space="preserve"> latente</w:t>
      </w:r>
      <w:r>
        <w:t xml:space="preserve"> en </w:t>
      </w:r>
      <w:r>
        <w:rPr>
          <w:i/>
        </w:rPr>
        <w:t>La chinche</w:t>
      </w:r>
      <w:r w:rsidR="008D04F0">
        <w:t>.</w:t>
      </w:r>
      <w:r w:rsidR="00DF5D22">
        <w:t xml:space="preserve"> </w:t>
      </w:r>
      <w:r w:rsidR="00C63623">
        <w:t>El</w:t>
      </w:r>
      <w:r w:rsidR="003A3696">
        <w:t xml:space="preserve"> título</w:t>
      </w:r>
      <w:r w:rsidR="006A1877">
        <w:t xml:space="preserve">, o </w:t>
      </w:r>
      <w:r w:rsidR="00C63623">
        <w:t>la figura de la chinche</w:t>
      </w:r>
      <w:r w:rsidR="006A1877">
        <w:t xml:space="preserve">, </w:t>
      </w:r>
      <w:r w:rsidR="003A3696">
        <w:t>en</w:t>
      </w:r>
      <w:r w:rsidR="00DF5D22">
        <w:t xml:space="preserve"> </w:t>
      </w:r>
      <w:r w:rsidR="003A3696">
        <w:t xml:space="preserve">esta parte de la comedia </w:t>
      </w:r>
      <w:r w:rsidR="006A1877">
        <w:t>funcionan</w:t>
      </w:r>
      <w:r w:rsidR="003A3696">
        <w:t xml:space="preserve"> como</w:t>
      </w:r>
      <w:r w:rsidR="00C63623">
        <w:t xml:space="preserve"> “una metáfora despectiva (parásito) que servía para satirizar la mentalidad pequeño-burguesa de Prisypkin.”</w:t>
      </w:r>
      <w:r w:rsidR="006A1877">
        <w:t xml:space="preserve"> (1968:</w:t>
      </w:r>
      <w:r w:rsidR="00C63623">
        <w:t>97)</w:t>
      </w:r>
      <w:r w:rsidR="00422F0F">
        <w:t xml:space="preserve">La explícita superficialidad y </w:t>
      </w:r>
      <w:r w:rsidR="00231338">
        <w:t>mezquindad</w:t>
      </w:r>
      <w:r w:rsidR="00422F0F">
        <w:t xml:space="preserve"> del protagonista incomodan</w:t>
      </w:r>
      <w:r w:rsidR="00BC2166">
        <w:t>.</w:t>
      </w:r>
      <w:r w:rsidR="00264B95">
        <w:t xml:space="preserve"> No sólo a los que lo rodean, él mismo está incomodo porque </w:t>
      </w:r>
      <w:r w:rsidR="00E035F6">
        <w:t>no encaja</w:t>
      </w:r>
      <w:r w:rsidR="00264B95">
        <w:t xml:space="preserve"> en ningún lado</w:t>
      </w:r>
      <w:r w:rsidR="006A1877">
        <w:t xml:space="preserve">: como los parásitos, es siempre “huésped”. </w:t>
      </w:r>
      <w:r w:rsidR="00264B95">
        <w:t>Se trata de</w:t>
      </w:r>
      <w:r w:rsidR="00422F0F">
        <w:t xml:space="preserve"> un personaje disruptivo </w:t>
      </w:r>
      <w:r w:rsidR="00BC2166">
        <w:t>–</w:t>
      </w:r>
      <w:r w:rsidR="00422F0F">
        <w:t>y</w:t>
      </w:r>
      <w:r w:rsidR="00BC2166">
        <w:t xml:space="preserve"> así funcionará</w:t>
      </w:r>
      <w:r w:rsidR="00422F0F">
        <w:t xml:space="preserve"> a lo largo de toda la obra</w:t>
      </w:r>
      <w:r w:rsidR="00BC2166">
        <w:t xml:space="preserve"> –</w:t>
      </w:r>
      <w:r w:rsidR="00422F0F">
        <w:t>que</w:t>
      </w:r>
      <w:r w:rsidR="006A1877">
        <w:t xml:space="preserve"> desde esa animalidad,</w:t>
      </w:r>
      <w:r w:rsidR="00DF5D22">
        <w:t xml:space="preserve"> </w:t>
      </w:r>
      <w:r w:rsidR="00422F0F">
        <w:t>nos invita a una reflexión constante</w:t>
      </w:r>
      <w:r w:rsidR="00231338">
        <w:t xml:space="preserve"> sobre </w:t>
      </w:r>
      <w:r w:rsidR="00BC2166">
        <w:t>el socialismo</w:t>
      </w:r>
      <w:r w:rsidR="00E035F6">
        <w:t xml:space="preserve"> y el futuro</w:t>
      </w:r>
      <w:r w:rsidR="006A1877">
        <w:t>.</w:t>
      </w:r>
    </w:p>
    <w:p w:rsidR="002E57D3" w:rsidRDefault="008C0C6E" w:rsidP="00DF5D22">
      <w:pPr>
        <w:ind w:firstLine="709"/>
      </w:pPr>
      <w:r>
        <w:t>La actitud parasitaria del inicio –cuadro I –</w:t>
      </w:r>
      <w:r w:rsidR="00320C98">
        <w:t xml:space="preserve">ha empujado al protagonista hacia un devenir-parásito. De esta manera,a </w:t>
      </w:r>
      <w:r w:rsidR="002E57D3">
        <w:t xml:space="preserve">lo largo del cuadro II, </w:t>
      </w:r>
      <w:r w:rsidR="00320C98">
        <w:t xml:space="preserve">nos iremos encontrando con varios </w:t>
      </w:r>
      <w:r w:rsidR="002E57D3">
        <w:t>indicios</w:t>
      </w:r>
      <w:r w:rsidR="00320C98">
        <w:t xml:space="preserve"> de animalidad:</w:t>
      </w:r>
    </w:p>
    <w:p w:rsidR="008C0C6E" w:rsidRDefault="001F0D21" w:rsidP="00DF5D22">
      <w:pPr>
        <w:pStyle w:val="Prrafodelista"/>
        <w:numPr>
          <w:ilvl w:val="0"/>
          <w:numId w:val="2"/>
        </w:numPr>
        <w:ind w:firstLine="709"/>
        <w:contextualSpacing w:val="0"/>
        <w:rPr>
          <w:sz w:val="20"/>
        </w:rPr>
      </w:pPr>
      <w:r w:rsidRPr="008C0C6E">
        <w:rPr>
          <w:sz w:val="20"/>
        </w:rPr>
        <w:t xml:space="preserve">“Pues fue Prisipkin quien se marchó con esas botas, a la cita con su </w:t>
      </w:r>
      <w:r w:rsidRPr="008C0C6E">
        <w:rPr>
          <w:sz w:val="20"/>
          <w:u w:val="single"/>
        </w:rPr>
        <w:t>camella</w:t>
      </w:r>
      <w:r w:rsidR="008C0C6E" w:rsidRPr="008C0C6E">
        <w:rPr>
          <w:sz w:val="20"/>
        </w:rPr>
        <w:t>.” (</w:t>
      </w:r>
      <w:r w:rsidR="008C0C6E">
        <w:rPr>
          <w:sz w:val="20"/>
        </w:rPr>
        <w:t>Maiakovski, s.f.:</w:t>
      </w:r>
      <w:r w:rsidRPr="008C0C6E">
        <w:rPr>
          <w:sz w:val="20"/>
        </w:rPr>
        <w:t xml:space="preserve">11) </w:t>
      </w:r>
    </w:p>
    <w:p w:rsidR="008C0C6E" w:rsidRDefault="001F0D21" w:rsidP="00DF5D22">
      <w:pPr>
        <w:pStyle w:val="Prrafodelista"/>
        <w:numPr>
          <w:ilvl w:val="0"/>
          <w:numId w:val="2"/>
        </w:numPr>
        <w:ind w:firstLine="709"/>
        <w:contextualSpacing w:val="0"/>
        <w:rPr>
          <w:sz w:val="20"/>
        </w:rPr>
      </w:pPr>
      <w:r w:rsidRPr="008C0C6E">
        <w:rPr>
          <w:sz w:val="20"/>
        </w:rPr>
        <w:t xml:space="preserve">“Por lo menos ya superó a Pushkin por toda la </w:t>
      </w:r>
      <w:r w:rsidRPr="008C0C6E">
        <w:rPr>
          <w:sz w:val="20"/>
          <w:u w:val="single"/>
        </w:rPr>
        <w:t>trompa</w:t>
      </w:r>
      <w:r w:rsidRPr="008C0C6E">
        <w:rPr>
          <w:sz w:val="20"/>
        </w:rPr>
        <w:t xml:space="preserve">. Le cuelgan unas </w:t>
      </w:r>
      <w:r w:rsidRPr="008C0C6E">
        <w:rPr>
          <w:sz w:val="20"/>
          <w:u w:val="single"/>
        </w:rPr>
        <w:t>patillas como a un perro la cola</w:t>
      </w:r>
      <w:r w:rsidRPr="008C0C6E">
        <w:rPr>
          <w:sz w:val="20"/>
        </w:rPr>
        <w:t>, y ni siquiera las lava… por temor a despeinarlas.” (</w:t>
      </w:r>
      <w:r w:rsidR="008C0C6E">
        <w:rPr>
          <w:sz w:val="20"/>
        </w:rPr>
        <w:t>s.f.:</w:t>
      </w:r>
      <w:r w:rsidRPr="008C0C6E">
        <w:rPr>
          <w:sz w:val="20"/>
        </w:rPr>
        <w:t>12)</w:t>
      </w:r>
    </w:p>
    <w:p w:rsidR="008C0C6E" w:rsidRDefault="001F0D21" w:rsidP="00DF5D22">
      <w:pPr>
        <w:pStyle w:val="Prrafodelista"/>
        <w:numPr>
          <w:ilvl w:val="0"/>
          <w:numId w:val="2"/>
        </w:numPr>
        <w:ind w:firstLine="709"/>
        <w:contextualSpacing w:val="0"/>
        <w:rPr>
          <w:sz w:val="20"/>
        </w:rPr>
      </w:pPr>
      <w:r w:rsidRPr="008C0C6E">
        <w:rPr>
          <w:sz w:val="20"/>
        </w:rPr>
        <w:t xml:space="preserve">“Con los obreros no hay en él punto de contacto (…) se casa con una muchacha hija de peluqueros… Ella es la cajera, y también la manicura. Desde hoy le cortará las </w:t>
      </w:r>
      <w:r w:rsidRPr="008C0C6E">
        <w:rPr>
          <w:sz w:val="20"/>
          <w:u w:val="single"/>
        </w:rPr>
        <w:t>pezuñas</w:t>
      </w:r>
      <w:r w:rsidR="00DF5D22">
        <w:rPr>
          <w:sz w:val="20"/>
          <w:u w:val="single"/>
        </w:rPr>
        <w:t xml:space="preserve"> </w:t>
      </w:r>
      <w:r w:rsidRPr="008C0C6E">
        <w:rPr>
          <w:sz w:val="20"/>
        </w:rPr>
        <w:t>Mademoiselle</w:t>
      </w:r>
      <w:r w:rsidR="00DF5D22">
        <w:rPr>
          <w:sz w:val="20"/>
        </w:rPr>
        <w:t xml:space="preserve"> </w:t>
      </w:r>
      <w:r w:rsidRPr="008C0C6E">
        <w:rPr>
          <w:sz w:val="20"/>
        </w:rPr>
        <w:t>Elzevira</w:t>
      </w:r>
      <w:r w:rsidR="00DF5D22">
        <w:rPr>
          <w:sz w:val="20"/>
        </w:rPr>
        <w:t xml:space="preserve"> </w:t>
      </w:r>
      <w:r w:rsidRPr="008C0C6E">
        <w:rPr>
          <w:sz w:val="20"/>
        </w:rPr>
        <w:t>Renaissance.” (</w:t>
      </w:r>
      <w:r w:rsidR="008C0C6E">
        <w:rPr>
          <w:sz w:val="20"/>
        </w:rPr>
        <w:t>s.f.:</w:t>
      </w:r>
      <w:r w:rsidRPr="008C0C6E">
        <w:rPr>
          <w:sz w:val="20"/>
        </w:rPr>
        <w:t>13)</w:t>
      </w:r>
    </w:p>
    <w:p w:rsidR="00DF5D22" w:rsidRPr="008C0C6E" w:rsidRDefault="00DF5D22" w:rsidP="00DF5D22">
      <w:pPr>
        <w:pStyle w:val="Prrafodelista"/>
        <w:ind w:left="1429"/>
        <w:contextualSpacing w:val="0"/>
        <w:rPr>
          <w:sz w:val="20"/>
        </w:rPr>
      </w:pPr>
    </w:p>
    <w:p w:rsidR="008C0C6E" w:rsidRPr="008C0C6E" w:rsidRDefault="00320C98" w:rsidP="00DF5D22">
      <w:pPr>
        <w:ind w:firstLine="709"/>
      </w:pPr>
      <w:r>
        <w:t xml:space="preserve">El subrayado </w:t>
      </w:r>
      <w:r w:rsidR="008C0C6E">
        <w:t>no le pertenece al autor,</w:t>
      </w:r>
      <w:r>
        <w:t xml:space="preserve"> es parte de nuestro análisis</w:t>
      </w:r>
      <w:r w:rsidR="008C0C6E">
        <w:t xml:space="preserve"> e</w:t>
      </w:r>
      <w:r>
        <w:t xml:space="preserve"> intenta rastrear las pistas que presagian el devenir-animal-insecto de Prisipkin. En esas palabras</w:t>
      </w:r>
      <w:r w:rsidR="006A7A5D">
        <w:t xml:space="preserve"> resaltadas</w:t>
      </w:r>
      <w:r>
        <w:t xml:space="preserve">, comienza a </w:t>
      </w:r>
      <w:r w:rsidR="006A7A5D">
        <w:t>delinearse</w:t>
      </w:r>
      <w:r>
        <w:t xml:space="preserve"> un campo semántico que </w:t>
      </w:r>
      <w:r w:rsidR="006A7A5D">
        <w:t xml:space="preserve">lo </w:t>
      </w:r>
      <w:r>
        <w:t xml:space="preserve">vincula </w:t>
      </w:r>
      <w:r w:rsidR="006A7A5D">
        <w:t xml:space="preserve">a </w:t>
      </w:r>
      <w:r>
        <w:t>lo animal</w:t>
      </w:r>
      <w:r w:rsidR="006A7A5D">
        <w:t xml:space="preserve">. Este se va a complementar a un </w:t>
      </w:r>
      <w:r w:rsidR="005C452F">
        <w:t>proceder</w:t>
      </w:r>
      <w:r w:rsidR="00A64CBC">
        <w:t xml:space="preserve">de su </w:t>
      </w:r>
      <w:r w:rsidR="006A7A5D">
        <w:t>cuerpo como animal</w:t>
      </w:r>
      <w:r w:rsidR="005C452F">
        <w:t xml:space="preserve">: el fox-trot. </w:t>
      </w:r>
      <w:r w:rsidR="00A64CBC">
        <w:t>Traducido</w:t>
      </w:r>
      <w:r w:rsidR="005C452F">
        <w:t xml:space="preserve"> como “paso del zorro”, es un baile cuyo origen se encuentra en las danzas negras primitivas que imitaban el andar de los animales.</w:t>
      </w:r>
      <w:r w:rsidR="00A64CBC">
        <w:rPr>
          <w:rStyle w:val="Refdenotaalpie"/>
        </w:rPr>
        <w:footnoteReference w:id="5"/>
      </w:r>
    </w:p>
    <w:p w:rsidR="001F0D21" w:rsidRPr="001F0D21" w:rsidRDefault="001F0D21" w:rsidP="00DF5D22">
      <w:pPr>
        <w:ind w:left="708" w:firstLine="709"/>
        <w:rPr>
          <w:sz w:val="20"/>
        </w:rPr>
      </w:pPr>
      <w:r w:rsidRPr="001F0D21">
        <w:rPr>
          <w:sz w:val="20"/>
        </w:rPr>
        <w:t>“Baián: […] ¿Por qué se sacude así con los hombros? Esto ya no es un fox-trot, veo que quiso hacer una demostración de un paso de shimmy.</w:t>
      </w:r>
    </w:p>
    <w:p w:rsidR="001F0D21" w:rsidRPr="001F0D21" w:rsidRDefault="001F0D21" w:rsidP="00DF5D22">
      <w:pPr>
        <w:ind w:left="708" w:firstLine="709"/>
        <w:rPr>
          <w:sz w:val="20"/>
        </w:rPr>
      </w:pPr>
      <w:r w:rsidRPr="001F0D21">
        <w:rPr>
          <w:sz w:val="20"/>
        </w:rPr>
        <w:t>Prisipkin: No. Ocurrió que… me dieron, de paso ganas de rascarme.</w:t>
      </w:r>
    </w:p>
    <w:p w:rsidR="00A64CBC" w:rsidRDefault="001F0D21" w:rsidP="00DF5D22">
      <w:pPr>
        <w:ind w:left="708" w:firstLine="709"/>
        <w:rPr>
          <w:sz w:val="20"/>
        </w:rPr>
      </w:pPr>
      <w:r w:rsidRPr="001F0D21">
        <w:rPr>
          <w:sz w:val="20"/>
        </w:rPr>
        <w:t>Baián: ¡También eso es posible, camarada Prisipkin! […] frótese rápido contra alguna estatua”. (</w:t>
      </w:r>
      <w:r w:rsidR="006A7A5D">
        <w:rPr>
          <w:sz w:val="20"/>
        </w:rPr>
        <w:t>Maiakovski, s.f.:</w:t>
      </w:r>
      <w:r w:rsidRPr="001F0D21">
        <w:rPr>
          <w:sz w:val="20"/>
        </w:rPr>
        <w:t>15-16)</w:t>
      </w:r>
      <w:r w:rsidR="00DF5D22">
        <w:rPr>
          <w:sz w:val="20"/>
        </w:rPr>
        <w:t xml:space="preserve"> </w:t>
      </w:r>
    </w:p>
    <w:p w:rsidR="00DF5D22" w:rsidRDefault="00DF5D22" w:rsidP="00DF5D22">
      <w:pPr>
        <w:ind w:left="708" w:firstLine="709"/>
        <w:rPr>
          <w:sz w:val="20"/>
        </w:rPr>
      </w:pPr>
    </w:p>
    <w:p w:rsidR="00A64CBC" w:rsidRDefault="00A64CBC" w:rsidP="00DF5D22">
      <w:pPr>
        <w:ind w:firstLine="709"/>
      </w:pPr>
      <w:r>
        <w:t xml:space="preserve">No es casualidad que el protagonista ensaye y ponga en práctica un “baile animal” que, además, le despierta impulsos animales –como rascarse. </w:t>
      </w:r>
    </w:p>
    <w:p w:rsidR="0097367A" w:rsidRDefault="00264B95" w:rsidP="00DF5D22">
      <w:pPr>
        <w:ind w:firstLine="709"/>
      </w:pPr>
      <w:r>
        <w:t>En el cuadro III</w:t>
      </w:r>
      <w:r w:rsidR="004C5C48">
        <w:t>,</w:t>
      </w:r>
      <w:r>
        <w:t xml:space="preserve"> se consuma la </w:t>
      </w:r>
      <w:r w:rsidR="0097367A">
        <w:t>monstruosa</w:t>
      </w:r>
      <w:r>
        <w:t xml:space="preserve"> unión entre la burguesía y l</w:t>
      </w:r>
      <w:r w:rsidR="00745603">
        <w:t>a clase obrera –</w:t>
      </w:r>
      <w:r w:rsidR="00265006">
        <w:t>representada</w:t>
      </w:r>
      <w:r w:rsidR="00DF5D22">
        <w:t xml:space="preserve"> </w:t>
      </w:r>
      <w:r w:rsidR="00265006">
        <w:t>en</w:t>
      </w:r>
      <w:r>
        <w:t xml:space="preserve"> el grotesco casamiento entre Elzevira y Scripkin</w:t>
      </w:r>
      <w:r>
        <w:rPr>
          <w:rStyle w:val="Refdenotaalpie"/>
        </w:rPr>
        <w:footnoteReference w:id="6"/>
      </w:r>
      <w:r w:rsidR="00745603">
        <w:t xml:space="preserve"> –que finaliza en un incendio</w:t>
      </w:r>
      <w:r w:rsidR="004C5C48">
        <w:t xml:space="preserve"> que es casi un presagio de lo que vendrá.</w:t>
      </w:r>
      <w:r w:rsidR="005862CC">
        <w:t xml:space="preserve"> Quizás podríamos adivinarlo como un castigo aleccionador para quienes deshonraron los valores legítimos del socialismo</w:t>
      </w:r>
      <w:r w:rsidR="0097367A">
        <w:t>, aquellos que intentaron aprovecharse y beneficiarse de la revolución</w:t>
      </w:r>
      <w:r w:rsidR="005862CC">
        <w:t xml:space="preserve">. </w:t>
      </w:r>
      <w:r w:rsidR="0097367A">
        <w:t>En el cuadro siguiente</w:t>
      </w:r>
      <w:r w:rsidR="004C5C48">
        <w:t>,</w:t>
      </w:r>
      <w:r w:rsidR="0097367A">
        <w:t xml:space="preserve"> averiguaremos</w:t>
      </w:r>
      <w:r w:rsidR="004C5C48">
        <w:t xml:space="preserve"> que en ese fuego va a arder </w:t>
      </w:r>
      <w:r>
        <w:t>toda la humanidad</w:t>
      </w:r>
      <w:r w:rsidR="00B51C3D">
        <w:t xml:space="preserve"> corrupta</w:t>
      </w:r>
      <w:r w:rsidR="0097367A">
        <w:t xml:space="preserve">y parasitaria </w:t>
      </w:r>
      <w:r w:rsidR="008D605B">
        <w:t>que se nos había presentado.</w:t>
      </w:r>
      <w:r w:rsidR="005862CC">
        <w:t xml:space="preserve"> Hechos trizas, chamuscados, destrozados… los cuerpos se han vuelto fuga. </w:t>
      </w:r>
      <w:r w:rsidR="00461A2B">
        <w:t>El hombre</w:t>
      </w:r>
      <w:r w:rsidR="005862CC">
        <w:t xml:space="preserve"> ha comenzado un movimiento de devenir</w:t>
      </w:r>
      <w:r w:rsidR="00F016F1">
        <w:t xml:space="preserve"> que nos lleva hacia el futuro</w:t>
      </w:r>
      <w:r w:rsidR="003A3696">
        <w:t>,p</w:t>
      </w:r>
      <w:r w:rsidR="005862CC">
        <w:t>ero</w:t>
      </w:r>
      <w:r w:rsidR="00F016F1">
        <w:t xml:space="preserve"> debemos tener en cuenta que</w:t>
      </w:r>
      <w:r w:rsidR="005862CC">
        <w:t xml:space="preserve"> “devenir no es evolución” (Deleuze, 2003:244)</w:t>
      </w:r>
      <w:r w:rsidR="00F016F1">
        <w:t>.</w:t>
      </w:r>
    </w:p>
    <w:p w:rsidR="00645771" w:rsidRDefault="00492A79" w:rsidP="00DF5D22">
      <w:pPr>
        <w:ind w:firstLine="709"/>
      </w:pPr>
      <w:r>
        <w:t xml:space="preserve">     Luego de esto</w:t>
      </w:r>
      <w:r w:rsidR="00221517">
        <w:t>,</w:t>
      </w:r>
      <w:r w:rsidR="00DF5D22">
        <w:t xml:space="preserve"> </w:t>
      </w:r>
      <w:r w:rsidR="003A3696">
        <w:t xml:space="preserve">la obra </w:t>
      </w:r>
      <w:r w:rsidR="006A1877">
        <w:t xml:space="preserve">se ubica en un futuro donde la revolución triunfó y el </w:t>
      </w:r>
      <w:r w:rsidR="00D710F5">
        <w:t>socialismo se internacionaliz</w:t>
      </w:r>
      <w:r w:rsidR="009F551C">
        <w:t xml:space="preserve">ó. </w:t>
      </w:r>
      <w:r w:rsidR="0082605F">
        <w:t xml:space="preserve">Sin embargo, este mundo dista de ser utópico ya que introduce “una sociedad futura de carácter distópico donde existe una constante represión de las libertades y un notable rechazo hacia todo lo heterodoxo.” (Casado Díaz, s.f.:1) </w:t>
      </w:r>
      <w:r w:rsidR="00455E54">
        <w:t xml:space="preserve">Como consecuencia de </w:t>
      </w:r>
      <w:r w:rsidR="005B5EDF">
        <w:t xml:space="preserve">la crisis de valores que trae el siglo XX, Maiakovski transforma la </w:t>
      </w:r>
      <w:r w:rsidR="00455E54">
        <w:t>propuesta optimista de una utopía</w:t>
      </w:r>
      <w:r w:rsidR="005B5EDF">
        <w:t xml:space="preserve"> s</w:t>
      </w:r>
      <w:r w:rsidR="00455E54">
        <w:t>ocialista,</w:t>
      </w:r>
      <w:r w:rsidR="005B5EDF">
        <w:t xml:space="preserve"> en una anti-utopía. S</w:t>
      </w:r>
      <w:r w:rsidR="00455E54">
        <w:t>u intención es</w:t>
      </w:r>
      <w:r w:rsidR="005B5EDF">
        <w:t xml:space="preserve"> advertir</w:t>
      </w:r>
      <w:r w:rsidR="00455E54">
        <w:t xml:space="preserve"> sobre lo que podría ser. Por eso nos traslada cincuenta años y nos enfrenta a un mundo homogeneizante y absolutamente ordenado, donde rigen la ciencia y la tecnología. </w:t>
      </w:r>
    </w:p>
    <w:p w:rsidR="00D254BE" w:rsidRDefault="00455E54" w:rsidP="00DF5D22">
      <w:pPr>
        <w:ind w:firstLine="709"/>
      </w:pPr>
      <w:r>
        <w:t>E</w:t>
      </w:r>
      <w:r w:rsidR="00E4248E">
        <w:t>n 1979</w:t>
      </w:r>
      <w:r>
        <w:t xml:space="preserve"> han desaparecido las ambiciones burguesas, pero también lo ha hecho</w:t>
      </w:r>
      <w:r w:rsidR="005B5EDF">
        <w:t xml:space="preserve"> la humanidad tal como la conocemos.</w:t>
      </w:r>
      <w:r w:rsidR="00645771">
        <w:t xml:space="preserve"> Los únicos intereses están impulsados por el Estado, que reprime y anula todo lo que excede al conocimiento científico de la humanidad obrera. Maiakovski nos muestra, sin idealizar el futuro, que es posible alcanzar el progreso. Pero nos alerta ante la posibilidad un </w:t>
      </w:r>
      <w:r w:rsidR="00E4248E">
        <w:t>porvenir</w:t>
      </w:r>
      <w:r w:rsidR="00645771">
        <w:t xml:space="preserve"> deshumanizado, en el cual no hay lugar para los sentimientos</w:t>
      </w:r>
      <w:r w:rsidR="00E4248E">
        <w:t xml:space="preserve"> y no se conoce el amor. ¿Qué somos capaces de resignar para alcanzar ciertos propósitos? ¿Es posible alcanzar el progreso sin resignar humanidad? ¿Qué es la humanidad y quién es humano? </w:t>
      </w:r>
    </w:p>
    <w:p w:rsidR="00221517" w:rsidRDefault="00221517" w:rsidP="00DF5D22">
      <w:pPr>
        <w:ind w:firstLine="709"/>
      </w:pPr>
      <w:r>
        <w:t>A partir del cuadro V, s</w:t>
      </w:r>
      <w:r w:rsidR="00E4248E">
        <w:t>i</w:t>
      </w:r>
      <w:r>
        <w:t xml:space="preserve"> bien se habla de una humanidad que ha superado los conflictos pasados, esta sólo es capaz de asimilar un elemento heterogéneo desde un pensamiento científico. Esto se debe a que ya no existe una dimensión afectiva en el hombre. Los sentimientos ya no se experimentan, se comprenden y se e</w:t>
      </w:r>
      <w:r w:rsidR="001246D1">
        <w:t>studian desde la ciencia:</w:t>
      </w:r>
    </w:p>
    <w:p w:rsidR="001246D1" w:rsidRPr="001246D1" w:rsidRDefault="00221517" w:rsidP="00DF5D22">
      <w:pPr>
        <w:ind w:left="708" w:firstLine="709"/>
        <w:rPr>
          <w:sz w:val="20"/>
        </w:rPr>
      </w:pPr>
      <w:r w:rsidRPr="001246D1">
        <w:rPr>
          <w:sz w:val="20"/>
        </w:rPr>
        <w:t>“</w:t>
      </w:r>
      <w:r w:rsidR="001246D1" w:rsidRPr="001246D1">
        <w:rPr>
          <w:sz w:val="20"/>
        </w:rPr>
        <w:t xml:space="preserve">Reportero: […] </w:t>
      </w:r>
    </w:p>
    <w:p w:rsidR="001246D1" w:rsidRPr="001246D1" w:rsidRDefault="001246D1" w:rsidP="00DF5D22">
      <w:pPr>
        <w:ind w:left="708" w:firstLine="709"/>
        <w:rPr>
          <w:sz w:val="20"/>
        </w:rPr>
      </w:pPr>
      <w:r w:rsidRPr="001246D1">
        <w:rPr>
          <w:sz w:val="20"/>
        </w:rPr>
        <w:t>Dijeron los profesores que eran accesos de “enamoramiento” agudo…Así se llamaba una antigua enfermedad, que sobreviene cuando la energía sexual humana, sensatamente distribuida a lo largo de toda la vida, se condensa de pronto en una semana, como proceso inflamatorio galopante, que provoca las acciones más insensatas y disparatadas.</w:t>
      </w:r>
    </w:p>
    <w:p w:rsidR="001246D1" w:rsidRPr="001246D1" w:rsidRDefault="001246D1" w:rsidP="00DF5D22">
      <w:pPr>
        <w:ind w:left="708" w:firstLine="709"/>
        <w:rPr>
          <w:sz w:val="20"/>
        </w:rPr>
      </w:pPr>
      <w:r w:rsidRPr="001246D1">
        <w:rPr>
          <w:sz w:val="20"/>
        </w:rPr>
        <w:t xml:space="preserve">[…] </w:t>
      </w:r>
    </w:p>
    <w:p w:rsidR="00221517" w:rsidRPr="001246D1" w:rsidRDefault="001246D1" w:rsidP="00DF5D22">
      <w:pPr>
        <w:ind w:left="708" w:firstLine="709"/>
        <w:rPr>
          <w:sz w:val="20"/>
        </w:rPr>
      </w:pPr>
      <w:r w:rsidRPr="001246D1">
        <w:rPr>
          <w:sz w:val="20"/>
        </w:rPr>
        <w:t>L</w:t>
      </w:r>
      <w:r w:rsidR="00221517" w:rsidRPr="001246D1">
        <w:rPr>
          <w:sz w:val="20"/>
        </w:rPr>
        <w:t>a epidemia nos inunda como un océano. (Treinta “girls” entran bailando). ¡Miren este sesentapiés de treinta cabezas! ¡Y pensar… (volviéndose al público) que esta alzamiento de piernas era lo que antes se llamaba arte! (Aparece una pareja bailando el fox-trot). La epidemia llegó […] vean… con esto hemos llegado ya al cuadrúpedo bisexual.” (</w:t>
      </w:r>
      <w:r w:rsidRPr="001246D1">
        <w:rPr>
          <w:sz w:val="20"/>
        </w:rPr>
        <w:t xml:space="preserve">Maiakovski, s.f.: </w:t>
      </w:r>
      <w:r w:rsidR="00221517" w:rsidRPr="001246D1">
        <w:rPr>
          <w:sz w:val="20"/>
        </w:rPr>
        <w:t xml:space="preserve">36)  </w:t>
      </w:r>
    </w:p>
    <w:p w:rsidR="00CB0642" w:rsidRDefault="001246D1" w:rsidP="00DF5D22">
      <w:pPr>
        <w:ind w:firstLine="709"/>
      </w:pPr>
      <w:r>
        <w:t>El profe</w:t>
      </w:r>
      <w:r w:rsidR="00D254BE">
        <w:t>sor y los científicos encargados</w:t>
      </w:r>
      <w:r>
        <w:t xml:space="preserve"> de </w:t>
      </w:r>
      <w:r w:rsidR="00D254BE">
        <w:t>investigar a Scripkin,</w:t>
      </w:r>
      <w:r>
        <w:t xml:space="preserve"> son incapaces de comprender</w:t>
      </w:r>
      <w:r w:rsidR="00D254BE">
        <w:t>lo y asimilan sus actos a los de un animal-parásito, fugando su humanidad hacia un devenir-animal.</w:t>
      </w:r>
    </w:p>
    <w:p w:rsidR="00576C1F" w:rsidRDefault="00CB0642" w:rsidP="00DF5D22">
      <w:pPr>
        <w:ind w:firstLine="709"/>
      </w:pPr>
      <w:r>
        <w:t xml:space="preserve">     Sobre la mesa de operaciones de</w:t>
      </w:r>
      <w:r w:rsidR="00D254BE">
        <w:t>l Instituto de Resurrecciones Humanas</w:t>
      </w:r>
      <w:r>
        <w:t>,</w:t>
      </w:r>
      <w:r w:rsidR="00DF5D22">
        <w:t xml:space="preserve"> </w:t>
      </w:r>
      <w:r>
        <w:t xml:space="preserve">se despliega una “lección de anatomía animal, en que se evidencia el poder del soberano, da cuenta de un modo de pensar y relacionarse con el viviente animal” (Cragnolini, 2012: 314). </w:t>
      </w:r>
      <w:r w:rsidR="00CF6FE6">
        <w:t>En</w:t>
      </w:r>
      <w:r>
        <w:t xml:space="preserve"> esa exhibición de saber y poder, </w:t>
      </w:r>
      <w:r w:rsidR="00CF6FE6">
        <w:t>el profesor</w:t>
      </w:r>
      <w:r>
        <w:t xml:space="preserve"> y</w:t>
      </w:r>
      <w:r w:rsidR="00CF6FE6">
        <w:t xml:space="preserve"> el estado deviene</w:t>
      </w:r>
      <w:r>
        <w:t>n animal-</w:t>
      </w:r>
      <w:r w:rsidR="00CF6FE6">
        <w:t xml:space="preserve">bestia. </w:t>
      </w:r>
      <w:r>
        <w:t xml:space="preserve">También se despojan de su humanidad y </w:t>
      </w:r>
      <w:r w:rsidR="00CF6FE6">
        <w:t>los límites se vuelven indiscernibles, provocando el terror en las personas que ven como ese “otro” se transforma y refleja su propio devenir-bestia. “Ese otro que es el viviente animal […] nos enfrenta a nuestra propia extrañeza y a aquello en nosotros (nuestra pretendida “animalidad”) que es sacrificado en nombre de la “hu</w:t>
      </w:r>
      <w:r>
        <w:t>manidad”.” (Cragnolini, 2012:3</w:t>
      </w:r>
      <w:r w:rsidR="00CF6FE6">
        <w:t>18) Es la evidencia de que la humanidad es puro devenir animal y rechaza como monstruoso lo que le asusta de su propia animalidad, d</w:t>
      </w:r>
      <w:r w:rsidR="00576C1F">
        <w:t>e su devenir-bestia. La animalidad como recurso literario nos permite percibir la situación de devenir hacia la indiscernibilidad de la humanidad del</w:t>
      </w:r>
      <w:r w:rsidR="00FB57C9">
        <w:t xml:space="preserve"> pasado y el futuro:</w:t>
      </w:r>
    </w:p>
    <w:p w:rsidR="00FB57C9" w:rsidRDefault="00FB57C9" w:rsidP="00DF5D22">
      <w:pPr>
        <w:ind w:left="708" w:firstLine="709"/>
        <w:rPr>
          <w:sz w:val="20"/>
        </w:rPr>
      </w:pPr>
      <w:r w:rsidRPr="00FB57C9">
        <w:rPr>
          <w:sz w:val="20"/>
        </w:rPr>
        <w:t>“¿Quiénes son ustedes realmente ciudadanos? ¿Quién soy yo? ¿Dónde estoy? […] ¡Ni hombres, ni caballos! ¡Autopistas, autopistas, autopistas! (</w:t>
      </w:r>
      <w:r w:rsidRPr="00FB57C9">
        <w:rPr>
          <w:i/>
          <w:sz w:val="20"/>
        </w:rPr>
        <w:t xml:space="preserve">Se apoya en la puerta para rascarse la espalda, busca con los dedos abiertos, se vuelve y descubre en la blanca pared una chinche, que se ha deslizado desde el cuello de su chaqueta). </w:t>
      </w:r>
      <w:r w:rsidRPr="00FB57C9">
        <w:rPr>
          <w:sz w:val="20"/>
        </w:rPr>
        <w:t>¡Chinche, chinchita, chinchilla! […] No te alejes, ven conmigo…” (</w:t>
      </w:r>
      <w:r>
        <w:rPr>
          <w:sz w:val="20"/>
        </w:rPr>
        <w:t>Maiakovski, s.f.:</w:t>
      </w:r>
      <w:r w:rsidRPr="00FB57C9">
        <w:rPr>
          <w:sz w:val="20"/>
        </w:rPr>
        <w:t>33)</w:t>
      </w:r>
    </w:p>
    <w:p w:rsidR="00DF5D22" w:rsidRDefault="00DF5D22" w:rsidP="00DF5D22">
      <w:pPr>
        <w:ind w:left="708" w:firstLine="709"/>
      </w:pPr>
    </w:p>
    <w:p w:rsidR="00E2025F" w:rsidRDefault="00576C1F" w:rsidP="00DF5D22">
      <w:pPr>
        <w:ind w:firstLine="709"/>
      </w:pPr>
      <w:r>
        <w:rPr>
          <w:rFonts w:eastAsia="TimesNewRomanPSMT" w:cs="Times New Roman"/>
          <w:color w:val="00000A"/>
          <w:szCs w:val="24"/>
        </w:rPr>
        <w:t xml:space="preserve">Scripkin es un animal </w:t>
      </w:r>
      <w:r w:rsidR="00E2025F">
        <w:rPr>
          <w:rFonts w:eastAsia="TimesNewRomanPSMT" w:cs="Times New Roman"/>
          <w:color w:val="00000A"/>
          <w:szCs w:val="24"/>
        </w:rPr>
        <w:t xml:space="preserve">que </w:t>
      </w:r>
      <w:r>
        <w:rPr>
          <w:rFonts w:eastAsia="TimesNewRomanPSMT" w:cs="Times New Roman"/>
          <w:color w:val="00000A"/>
          <w:szCs w:val="24"/>
        </w:rPr>
        <w:t>comienza un d</w:t>
      </w:r>
      <w:r w:rsidR="00E2025F">
        <w:rPr>
          <w:rFonts w:eastAsia="TimesNewRomanPSMT" w:cs="Times New Roman"/>
          <w:color w:val="00000A"/>
          <w:szCs w:val="24"/>
        </w:rPr>
        <w:t>evenir hacia la racionalidad y</w:t>
      </w:r>
      <w:r>
        <w:rPr>
          <w:rFonts w:eastAsia="TimesNewRomanPSMT" w:cs="Times New Roman"/>
          <w:color w:val="00000A"/>
          <w:szCs w:val="24"/>
        </w:rPr>
        <w:t xml:space="preserve"> amenaza con romper las fronteras entre lo animal y lo humano. “Devenir todo el mundo es hacer del mundo un devenir, es crear un multitud, es crear un mundo, mundos, es decir, encontrar sus entornos y sus zonas de indis</w:t>
      </w:r>
      <w:r w:rsidR="00E2025F">
        <w:rPr>
          <w:rFonts w:eastAsia="TimesNewRomanPSMT" w:cs="Times New Roman"/>
          <w:color w:val="00000A"/>
          <w:szCs w:val="24"/>
        </w:rPr>
        <w:t>cernibilidad.”</w:t>
      </w:r>
      <w:r w:rsidR="00DF5D22">
        <w:rPr>
          <w:rFonts w:eastAsia="TimesNewRomanPSMT" w:cs="Times New Roman"/>
          <w:color w:val="00000A"/>
          <w:szCs w:val="24"/>
        </w:rPr>
        <w:t xml:space="preserve"> </w:t>
      </w:r>
      <w:r w:rsidR="00E2025F">
        <w:rPr>
          <w:rFonts w:eastAsia="TimesNewRomanPSMT" w:cs="Times New Roman"/>
          <w:color w:val="00000A"/>
          <w:szCs w:val="24"/>
        </w:rPr>
        <w:t>(Deleuze, 2003:</w:t>
      </w:r>
      <w:r>
        <w:rPr>
          <w:rFonts w:eastAsia="TimesNewRomanPSMT" w:cs="Times New Roman"/>
          <w:color w:val="00000A"/>
          <w:szCs w:val="24"/>
        </w:rPr>
        <w:t xml:space="preserve">281)Es el devenir hacia lo indiscernible, donde las fronteras de la “alteridad” se fugan. Entonces nos preguntamos, </w:t>
      </w:r>
      <w:r>
        <w:t>¿dónde está lo monstruoso, en el animal? ¿El “burguensis</w:t>
      </w:r>
      <w:r w:rsidR="00DF5D22">
        <w:t xml:space="preserve"> </w:t>
      </w:r>
      <w:r>
        <w:t xml:space="preserve">vulgaris” es la verdadera bestia? </w:t>
      </w:r>
      <w:r w:rsidR="00196B48">
        <w:t>S</w:t>
      </w:r>
      <w:r w:rsidR="00A533C9">
        <w:t>cripkin</w:t>
      </w:r>
      <w:r w:rsidR="00466F92">
        <w:t xml:space="preserve"> como “burguensis</w:t>
      </w:r>
      <w:r w:rsidR="00DF5D22">
        <w:t xml:space="preserve"> </w:t>
      </w:r>
      <w:r w:rsidR="00466F92">
        <w:t>vulgaris”</w:t>
      </w:r>
      <w:r w:rsidR="00196B48">
        <w:t xml:space="preserve"> nos revela </w:t>
      </w:r>
      <w:r w:rsidR="00A533C9">
        <w:t>una animalidad compleja. Es un animal</w:t>
      </w:r>
      <w:r w:rsidR="00DD7A3B">
        <w:t xml:space="preserve"> que </w:t>
      </w:r>
      <w:r w:rsidR="00DE7D42">
        <w:t>habla</w:t>
      </w:r>
      <w:r w:rsidR="00DD7A3B">
        <w:t>,</w:t>
      </w:r>
      <w:r w:rsidR="00A533C9">
        <w:t xml:space="preserve"> lee</w:t>
      </w:r>
      <w:r w:rsidR="00DD7A3B">
        <w:t>y busca respuestas en los libros.</w:t>
      </w:r>
      <w:r w:rsidR="00DF5D22">
        <w:t xml:space="preserve"> </w:t>
      </w:r>
      <w:r w:rsidR="00DE7D42">
        <w:t>Es un devenir-animal-</w:t>
      </w:r>
      <w:r w:rsidR="00DD7A3B">
        <w:t>chinche</w:t>
      </w:r>
      <w:r w:rsidR="00196B48">
        <w:t xml:space="preserve"> capaz de reflexionar</w:t>
      </w:r>
      <w:r w:rsidR="00466F92">
        <w:t xml:space="preserve"> y cuestionar</w:t>
      </w:r>
      <w:r w:rsidR="00196B48">
        <w:t xml:space="preserve">, no sólo sobre su propia existencia, sino también sobre la situación política y social que lo rodea. </w:t>
      </w:r>
      <w:r w:rsidR="00466F92">
        <w:t xml:space="preserve">La interioridad de él como </w:t>
      </w:r>
      <w:r w:rsidR="00196B48">
        <w:t>animal se nos revela sumamente rica</w:t>
      </w:r>
      <w:r w:rsidR="00E2025F">
        <w:t xml:space="preserve"> –quizás más que la de esa “humanidad”-</w:t>
      </w:r>
      <w:r w:rsidR="00196B48">
        <w:t xml:space="preserve">, incluso llega a cuestionar a los </w:t>
      </w:r>
      <w:r w:rsidR="00DD7A3B">
        <w:t>“ciudadanos”</w:t>
      </w:r>
      <w:r w:rsidR="00196B48">
        <w:t xml:space="preserve"> por sus actitudes</w:t>
      </w:r>
      <w:r w:rsidR="00DF5D22">
        <w:t xml:space="preserve"> </w:t>
      </w:r>
      <w:r w:rsidR="00FB57C9">
        <w:t>injustas</w:t>
      </w:r>
      <w:r w:rsidR="00E2025F">
        <w:t xml:space="preserve"> hacia él: “¡Ciudadanos!¡Hermano</w:t>
      </w:r>
      <w:r w:rsidR="00FB57C9">
        <w:t>s</w:t>
      </w:r>
      <w:r w:rsidR="00E2025F">
        <w:t>! […]</w:t>
      </w:r>
      <w:r w:rsidR="00FB57C9">
        <w:t xml:space="preserve"> ¿Cuándo los descongelaron a todos? ¿Por qué estoy yo solo en la jaula? ¡Hermanito queridos, vengan a mí! ¿Para qué estoy padeciendo todo esto?” (Maiakovski, s.f.:48)</w:t>
      </w:r>
    </w:p>
    <w:p w:rsidR="00E2025F" w:rsidRDefault="00466F92" w:rsidP="00DF5D22">
      <w:pPr>
        <w:ind w:firstLine="709"/>
      </w:pPr>
      <w:r>
        <w:t>A</w:t>
      </w:r>
      <w:r w:rsidR="00196B48">
        <w:t xml:space="preserve"> tra</w:t>
      </w:r>
      <w:r w:rsidR="00DE7D42">
        <w:t>vés de sus reflexiones, nos abre</w:t>
      </w:r>
      <w:r w:rsidR="00196B48">
        <w:t xml:space="preserve"> las puertas hacia una revisión de la supuesta superioridad humana. </w:t>
      </w:r>
      <w:r w:rsidR="00A533C9">
        <w:t xml:space="preserve">Pero serán las propias </w:t>
      </w:r>
      <w:r w:rsidR="00DD7A3B">
        <w:t>“</w:t>
      </w:r>
      <w:r w:rsidR="00A533C9">
        <w:t>actitudes humanas</w:t>
      </w:r>
      <w:r w:rsidR="00DD7A3B">
        <w:t>”</w:t>
      </w:r>
      <w:r w:rsidR="00A533C9">
        <w:t xml:space="preserve"> las que nos</w:t>
      </w:r>
      <w:r w:rsidR="00DD7A3B">
        <w:t xml:space="preserve"> lleven a objetar su hegemonía.</w:t>
      </w:r>
      <w:r w:rsidR="00A533C9">
        <w:t xml:space="preserve"> Los seres humanos, desde una autovaloración como superiores frente a los animales, han naturalizado el derecho de di</w:t>
      </w:r>
      <w:r w:rsidR="00DD7A3B">
        <w:t>sponer de ellos a su voluntad. Y</w:t>
      </w:r>
      <w:r w:rsidR="00A533C9">
        <w:t>a sea para consumirlos</w:t>
      </w:r>
      <w:r w:rsidR="00DD7A3B">
        <w:t xml:space="preserve"> en un zoológico, o para</w:t>
      </w:r>
      <w:r w:rsidR="00A533C9">
        <w:t xml:space="preserve"> utilizarlos </w:t>
      </w:r>
      <w:r w:rsidR="00DD7A3B">
        <w:t>en sus experimentos científicos</w:t>
      </w:r>
      <w:r w:rsidR="00A533C9">
        <w:t xml:space="preserve">. </w:t>
      </w:r>
      <w:r w:rsidR="00DE7D42">
        <w:t xml:space="preserve">El zoológico funciona como un espacio de fuga hacia un devenir-animal de la chinche y Scripkin. </w:t>
      </w:r>
      <w:r w:rsidR="00DD7A3B">
        <w:t>La “chinchis</w:t>
      </w:r>
      <w:r w:rsidR="00DF5D22">
        <w:t xml:space="preserve"> </w:t>
      </w:r>
      <w:r w:rsidR="00DD7A3B">
        <w:t>normalis” y el “burgu</w:t>
      </w:r>
      <w:r w:rsidR="00DE7D42">
        <w:t>ensis</w:t>
      </w:r>
      <w:r w:rsidR="00DF5D22">
        <w:t xml:space="preserve">  v</w:t>
      </w:r>
      <w:r w:rsidR="00DE7D42">
        <w:t>ulgaris” son igualados</w:t>
      </w:r>
      <w:r w:rsidR="00DD7A3B">
        <w:t xml:space="preserve"> y puestos en jaulas</w:t>
      </w:r>
      <w:r w:rsidR="00DE7D42">
        <w:t xml:space="preserve">, animalizados </w:t>
      </w:r>
      <w:r w:rsidR="00DD7A3B">
        <w:t>porque l</w:t>
      </w:r>
      <w:r w:rsidR="00A533C9">
        <w:t>a animalidad en tanto a</w:t>
      </w:r>
      <w:r w:rsidR="00E2025F">
        <w:t xml:space="preserve">lteridad no molesta al hombre. Se </w:t>
      </w:r>
      <w:r w:rsidR="00A533C9">
        <w:t>presenta como algo extraño a él, es un “otro” lejano que no incomoda porque no viene a cuestionarlo en su superioridad.</w:t>
      </w:r>
      <w:r w:rsidR="00DF5D22">
        <w:t xml:space="preserve"> </w:t>
      </w:r>
      <w:r w:rsidR="00E2025F">
        <w:t xml:space="preserve">El espacio los equipara y también la ciencia, ambos son parásitos que se nutren de una humanidad: </w:t>
      </w:r>
    </w:p>
    <w:p w:rsidR="00A533C9" w:rsidRDefault="00E2025F" w:rsidP="00DF5D22">
      <w:pPr>
        <w:ind w:left="708" w:firstLine="709"/>
        <w:rPr>
          <w:sz w:val="20"/>
        </w:rPr>
      </w:pPr>
      <w:r w:rsidRPr="00E2025F">
        <w:rPr>
          <w:sz w:val="20"/>
        </w:rPr>
        <w:t>“Ambos pasan su tiempo en fétidos colchones. La “chinchis</w:t>
      </w:r>
      <w:r w:rsidR="00DF5D22">
        <w:rPr>
          <w:sz w:val="20"/>
        </w:rPr>
        <w:t xml:space="preserve"> </w:t>
      </w:r>
      <w:r w:rsidRPr="00E2025F">
        <w:rPr>
          <w:sz w:val="20"/>
        </w:rPr>
        <w:t xml:space="preserve">normalis”, </w:t>
      </w:r>
      <w:r w:rsidR="00DF5D22">
        <w:rPr>
          <w:sz w:val="20"/>
        </w:rPr>
        <w:t>después de engordas y emborrach</w:t>
      </w:r>
      <w:r w:rsidRPr="00E2025F">
        <w:rPr>
          <w:sz w:val="20"/>
        </w:rPr>
        <w:t>arse con la sangre de un solo individuo, cae debajo de la cama. El “burguensis</w:t>
      </w:r>
      <w:r w:rsidR="00DF5D22">
        <w:rPr>
          <w:sz w:val="20"/>
        </w:rPr>
        <w:t xml:space="preserve"> </w:t>
      </w:r>
      <w:r w:rsidRPr="00E2025F">
        <w:rPr>
          <w:sz w:val="20"/>
        </w:rPr>
        <w:t>vulgaris”, después de engordar y emborracharse con la sangre de toda la humanidad, cae sobre la cama. […] Pero el “burguensis</w:t>
      </w:r>
      <w:r w:rsidR="00DF5D22">
        <w:rPr>
          <w:sz w:val="20"/>
        </w:rPr>
        <w:t xml:space="preserve"> </w:t>
      </w:r>
      <w:r w:rsidRPr="00E2025F">
        <w:rPr>
          <w:sz w:val="20"/>
        </w:rPr>
        <w:t xml:space="preserve">vulgaris” es más temible. Con su portentoso mimetismo atrae a sus víctimas”. </w:t>
      </w:r>
      <w:r>
        <w:rPr>
          <w:sz w:val="20"/>
        </w:rPr>
        <w:t>(Maiakosvki, s.f.:47)</w:t>
      </w:r>
    </w:p>
    <w:p w:rsidR="00DF5D22" w:rsidRDefault="00DF5D22" w:rsidP="00DF5D22">
      <w:pPr>
        <w:ind w:firstLine="709"/>
      </w:pPr>
    </w:p>
    <w:p w:rsidR="004D53C4" w:rsidRDefault="00A533C9" w:rsidP="00DF5D22">
      <w:pPr>
        <w:ind w:firstLine="709"/>
      </w:pPr>
      <w:r>
        <w:t>Los límites entre lo humano y lo animal se han erosionado. Todo es devenir, es fuga.</w:t>
      </w:r>
      <w:r>
        <w:rPr>
          <w:rStyle w:val="Refdenotaalpie"/>
        </w:rPr>
        <w:footnoteReference w:id="7"/>
      </w:r>
      <w:r>
        <w:t xml:space="preserve"> Pero el devenir es rizoma, por lo tanto, no se trata de una evolución ni de una progresión jerarquizada, sino de multiplicidades que se afectan y transforman entre sí</w:t>
      </w:r>
      <w:r w:rsidR="00FB57C9">
        <w:t xml:space="preserve"> en el devenir</w:t>
      </w:r>
      <w:r>
        <w:t xml:space="preserve">. </w:t>
      </w:r>
      <w:r w:rsidR="00FB57C9">
        <w:t xml:space="preserve">Como postula Raffa (1968), </w:t>
      </w:r>
    </w:p>
    <w:p w:rsidR="00FB57C9" w:rsidRDefault="00FB57C9" w:rsidP="00DF5D22">
      <w:pPr>
        <w:ind w:left="708" w:firstLine="709"/>
        <w:rPr>
          <w:sz w:val="20"/>
        </w:rPr>
      </w:pPr>
      <w:r w:rsidRPr="004D53C4">
        <w:rPr>
          <w:sz w:val="20"/>
        </w:rPr>
        <w:t>“Prisypkin y la chinche están ya inseparablemente unidos por el doble significado de parásitos y seres naturales, la misma suerte de la chinche correrá también su homónimo metaf</w:t>
      </w:r>
      <w:r w:rsidR="004D53C4" w:rsidRPr="004D53C4">
        <w:rPr>
          <w:sz w:val="20"/>
        </w:rPr>
        <w:t>órico […] Prisypkin es el parásito que la nueva sociedad se considera orgullosa de haber eliminado para siempre: por eso puede contemplarlo”</w:t>
      </w:r>
      <w:r w:rsidR="004D53C4">
        <w:rPr>
          <w:sz w:val="20"/>
        </w:rPr>
        <w:t>.(pp.98-99)</w:t>
      </w:r>
    </w:p>
    <w:p w:rsidR="00DF5D22" w:rsidRPr="004D53C4" w:rsidRDefault="00DF5D22" w:rsidP="00DF5D22">
      <w:pPr>
        <w:ind w:left="708" w:firstLine="709"/>
        <w:rPr>
          <w:sz w:val="20"/>
        </w:rPr>
      </w:pPr>
    </w:p>
    <w:p w:rsidR="00A533C9" w:rsidRDefault="004D53C4" w:rsidP="00DF5D22">
      <w:pPr>
        <w:ind w:firstLine="709"/>
      </w:pPr>
      <w:r>
        <w:t>Mientras el devenir-animal de Scripkin le permite a la sociedad contemplarlo en tanto alteridad</w:t>
      </w:r>
      <w:r w:rsidR="00BD503A">
        <w:t xml:space="preserve">; al mismo tiempo, </w:t>
      </w:r>
      <w:r>
        <w:t>l</w:t>
      </w:r>
      <w:r w:rsidR="00A533C9">
        <w:t xml:space="preserve">as actitudes y decisiones que toma </w:t>
      </w:r>
      <w:r w:rsidR="00BD503A">
        <w:t>la</w:t>
      </w:r>
      <w:r w:rsidR="00A533C9">
        <w:t xml:space="preserve"> catapultan hacia su</w:t>
      </w:r>
      <w:r>
        <w:t xml:space="preserve"> propio devenir-animal</w:t>
      </w:r>
      <w:r w:rsidR="00BD503A">
        <w:t>. Entonces de</w:t>
      </w:r>
      <w:r>
        <w:t>bemos preguntarnos,</w:t>
      </w:r>
      <w:r w:rsidR="00A533C9">
        <w:t xml:space="preserve"> ¿sus modos de s</w:t>
      </w:r>
      <w:r w:rsidR="008F6169">
        <w:t>er son propios de la humanidad</w:t>
      </w:r>
      <w:r w:rsidR="00FB57C9">
        <w:t xml:space="preserve">? </w:t>
      </w:r>
      <w:r w:rsidR="00A533C9">
        <w:t>¿Dónde está</w:t>
      </w:r>
      <w:r w:rsidR="008F6169">
        <w:t xml:space="preserve"> la animalidad</w:t>
      </w:r>
      <w:r w:rsidR="00BD503A">
        <w:t xml:space="preserve"> y</w:t>
      </w:r>
      <w:r w:rsidR="00FB57C9">
        <w:t xml:space="preserve"> quién la encarna</w:t>
      </w:r>
      <w:r w:rsidR="00BD503A">
        <w:t xml:space="preserve"> realmente</w:t>
      </w:r>
      <w:r>
        <w:t xml:space="preserve">? El desgaste de los límites llega a poner en cuestionamiento la idea de cultura como oposición a la naturaleza, y esto incomoda porque expone al hombre a su animalidad. </w:t>
      </w:r>
      <w:r w:rsidR="00A533C9">
        <w:t>Como hemos dicho anteriormente, las fronteras son fuga y todo deviene rizoma. Esto nos lleva a la ruptura de la “superiorida</w:t>
      </w:r>
      <w:r w:rsidR="00CB0642">
        <w:t>d” intelectual humana: el hombre deviene animal, la humanidad deviene animalidad.</w:t>
      </w:r>
    </w:p>
    <w:p w:rsidR="00921FC8" w:rsidRDefault="00921FC8" w:rsidP="00DF5D22">
      <w:pPr>
        <w:ind w:firstLine="709"/>
      </w:pPr>
    </w:p>
    <w:p w:rsidR="00921FC8" w:rsidRDefault="00921FC8" w:rsidP="00DF5D22">
      <w:pPr>
        <w:ind w:firstLine="709"/>
      </w:pPr>
    </w:p>
    <w:p w:rsidR="00921FC8" w:rsidRDefault="00921FC8" w:rsidP="00DF5D22">
      <w:pPr>
        <w:ind w:firstLine="709"/>
      </w:pPr>
    </w:p>
    <w:p w:rsidR="00921FC8" w:rsidRDefault="00921FC8" w:rsidP="00DF5D22">
      <w:pPr>
        <w:ind w:firstLine="709"/>
      </w:pPr>
    </w:p>
    <w:p w:rsidR="00921FC8" w:rsidRDefault="00921FC8" w:rsidP="00DF5D22">
      <w:pPr>
        <w:ind w:firstLine="709"/>
      </w:pPr>
    </w:p>
    <w:p w:rsidR="007473E9" w:rsidRDefault="007473E9" w:rsidP="00DF5D22">
      <w:pPr>
        <w:ind w:firstLine="709"/>
      </w:pPr>
    </w:p>
    <w:p w:rsidR="000335B8" w:rsidRDefault="000335B8" w:rsidP="00DF5D22">
      <w:pPr>
        <w:ind w:firstLine="709"/>
        <w:rPr>
          <w:b/>
        </w:rPr>
      </w:pPr>
    </w:p>
    <w:p w:rsidR="007D6FA1" w:rsidRDefault="007D6FA1" w:rsidP="00DF5D22">
      <w:pPr>
        <w:ind w:firstLine="709"/>
        <w:rPr>
          <w:b/>
        </w:rPr>
      </w:pPr>
      <w:r>
        <w:rPr>
          <w:b/>
        </w:rPr>
        <w:t>Bibliografía consultada</w:t>
      </w:r>
    </w:p>
    <w:p w:rsidR="007D6FA1" w:rsidRDefault="007D6FA1" w:rsidP="00DF5D22">
      <w:pPr>
        <w:ind w:left="709" w:firstLine="709"/>
        <w:rPr>
          <w:rFonts w:eastAsia="TimesNewRomanPSMT" w:cs="Times New Roman"/>
          <w:color w:val="00000A"/>
          <w:szCs w:val="24"/>
        </w:rPr>
      </w:pPr>
      <w:r w:rsidRPr="002F30E5">
        <w:rPr>
          <w:rFonts w:eastAsia="TimesNewRomanPSMT" w:cs="Times New Roman"/>
          <w:color w:val="00000A"/>
          <w:szCs w:val="24"/>
        </w:rPr>
        <w:t xml:space="preserve">Agamben, G. (2006). “Máquina antropológica” en </w:t>
      </w:r>
      <w:r w:rsidRPr="002F30E5">
        <w:rPr>
          <w:rFonts w:eastAsia="TimesNewRomanPS-ItalicMT" w:cs="Times New Roman"/>
          <w:i/>
          <w:iCs/>
          <w:color w:val="00000A"/>
          <w:szCs w:val="24"/>
        </w:rPr>
        <w:t>Lo abierto, el hombre y el animal</w:t>
      </w:r>
      <w:r w:rsidRPr="002F30E5">
        <w:rPr>
          <w:rFonts w:eastAsia="TimesNewRomanPSMT" w:cs="Times New Roman"/>
          <w:color w:val="00000A"/>
          <w:szCs w:val="24"/>
        </w:rPr>
        <w:t>. Buenos Aires: Adriana Hidalgo.</w:t>
      </w:r>
    </w:p>
    <w:p w:rsidR="005C117D" w:rsidRPr="002F30E5" w:rsidRDefault="009F551C" w:rsidP="00DF5D22">
      <w:pPr>
        <w:ind w:left="709" w:firstLine="709"/>
        <w:rPr>
          <w:rFonts w:eastAsia="TimesNewRomanPSMT" w:cs="Times New Roman"/>
          <w:color w:val="00000A"/>
          <w:szCs w:val="24"/>
        </w:rPr>
      </w:pPr>
      <w:r>
        <w:rPr>
          <w:rFonts w:eastAsia="TimesNewRomanPSMT" w:cs="Times New Roman"/>
          <w:color w:val="00000A"/>
          <w:szCs w:val="24"/>
        </w:rPr>
        <w:t>Casado Díaz, O. (sin fecha</w:t>
      </w:r>
      <w:r w:rsidR="005C117D">
        <w:rPr>
          <w:rFonts w:eastAsia="TimesNewRomanPSMT" w:cs="Times New Roman"/>
          <w:color w:val="00000A"/>
          <w:szCs w:val="24"/>
        </w:rPr>
        <w:t xml:space="preserve">). </w:t>
      </w:r>
      <w:r>
        <w:rPr>
          <w:rFonts w:eastAsia="TimesNewRomanPSMT" w:cs="Times New Roman"/>
          <w:color w:val="00000A"/>
          <w:szCs w:val="24"/>
        </w:rPr>
        <w:t>“La función de la literatura en las novelas utópicas: de la amenaza a la disidencia”. Universidad Autónoma de Madrid.</w:t>
      </w:r>
    </w:p>
    <w:p w:rsidR="007D6FA1" w:rsidRDefault="007D6FA1" w:rsidP="00DF5D22">
      <w:pPr>
        <w:autoSpaceDE w:val="0"/>
        <w:autoSpaceDN w:val="0"/>
        <w:adjustRightInd w:val="0"/>
        <w:ind w:left="709" w:firstLine="709"/>
        <w:rPr>
          <w:rFonts w:eastAsia="TimesNewRomanPSMT" w:cs="Times New Roman"/>
          <w:color w:val="00000A"/>
          <w:szCs w:val="24"/>
        </w:rPr>
      </w:pPr>
      <w:r w:rsidRPr="002F30E5">
        <w:rPr>
          <w:rFonts w:eastAsia="TimesNewRomanPSMT" w:cs="Times New Roman"/>
          <w:color w:val="00000A"/>
          <w:szCs w:val="24"/>
        </w:rPr>
        <w:t>Cragnolini, M. (2012). “Hospit</w:t>
      </w:r>
      <w:r>
        <w:rPr>
          <w:rFonts w:eastAsia="TimesNewRomanPSMT" w:cs="Times New Roman"/>
          <w:color w:val="00000A"/>
          <w:szCs w:val="24"/>
        </w:rPr>
        <w:t>a</w:t>
      </w:r>
      <w:r w:rsidRPr="002F30E5">
        <w:rPr>
          <w:rFonts w:eastAsia="TimesNewRomanPSMT" w:cs="Times New Roman"/>
          <w:color w:val="00000A"/>
          <w:szCs w:val="24"/>
        </w:rPr>
        <w:t xml:space="preserve">lidad (con el) animal” en </w:t>
      </w:r>
      <w:r w:rsidRPr="002F30E5">
        <w:rPr>
          <w:rFonts w:eastAsia="TimesNewRomanPSMT" w:cs="Times New Roman"/>
          <w:i/>
          <w:color w:val="00000A"/>
          <w:szCs w:val="24"/>
        </w:rPr>
        <w:t>Escritura e imagen</w:t>
      </w:r>
      <w:r w:rsidRPr="002F30E5">
        <w:rPr>
          <w:rFonts w:eastAsia="TimesNewRomanPSMT" w:cs="Times New Roman"/>
          <w:color w:val="00000A"/>
          <w:szCs w:val="24"/>
        </w:rPr>
        <w:t xml:space="preserve">, </w:t>
      </w:r>
      <w:r w:rsidRPr="002F30E5">
        <w:rPr>
          <w:rFonts w:cs="Times New Roman"/>
          <w:i/>
          <w:szCs w:val="24"/>
          <w:shd w:val="clear" w:color="auto" w:fill="FFFFFF"/>
        </w:rPr>
        <w:t>Vol. Extra (2011)</w:t>
      </w:r>
      <w:r>
        <w:rPr>
          <w:rFonts w:cs="Times New Roman"/>
          <w:szCs w:val="24"/>
          <w:shd w:val="clear" w:color="auto" w:fill="FFFFFF"/>
        </w:rPr>
        <w:t xml:space="preserve">, </w:t>
      </w:r>
      <w:r w:rsidRPr="002F30E5">
        <w:rPr>
          <w:rFonts w:cs="Times New Roman"/>
          <w:szCs w:val="24"/>
          <w:shd w:val="clear" w:color="auto" w:fill="FFFFFF"/>
        </w:rPr>
        <w:t>313-324.</w:t>
      </w:r>
      <w:r w:rsidRPr="002F30E5">
        <w:rPr>
          <w:rFonts w:eastAsia="TimesNewRomanPSMT" w:cs="Times New Roman"/>
          <w:color w:val="00000A"/>
          <w:szCs w:val="24"/>
        </w:rPr>
        <w:t xml:space="preserve"> Recuperado</w:t>
      </w:r>
      <w:r>
        <w:rPr>
          <w:rFonts w:eastAsia="TimesNewRomanPSMT" w:cs="Times New Roman"/>
          <w:color w:val="00000A"/>
          <w:szCs w:val="24"/>
        </w:rPr>
        <w:t xml:space="preserve"> de: </w:t>
      </w:r>
    </w:p>
    <w:p w:rsidR="007D6FA1" w:rsidRPr="002F30E5" w:rsidRDefault="007D6FA1" w:rsidP="00DF5D22">
      <w:pPr>
        <w:autoSpaceDE w:val="0"/>
        <w:autoSpaceDN w:val="0"/>
        <w:adjustRightInd w:val="0"/>
        <w:ind w:left="709" w:firstLine="709"/>
        <w:rPr>
          <w:rFonts w:eastAsia="TimesNewRomanPSMT" w:cs="Times New Roman"/>
          <w:color w:val="00000A"/>
          <w:szCs w:val="24"/>
        </w:rPr>
      </w:pPr>
      <w:r w:rsidRPr="002F30E5">
        <w:rPr>
          <w:rFonts w:cs="Times New Roman"/>
          <w:szCs w:val="24"/>
          <w:u w:val="single"/>
        </w:rPr>
        <w:t>https://revistas.ucm.es/index.php/ESIM/article/view/37741</w:t>
      </w:r>
    </w:p>
    <w:p w:rsidR="007D6FA1" w:rsidRPr="002F30E5" w:rsidRDefault="007D6FA1" w:rsidP="00DF5D22">
      <w:pPr>
        <w:autoSpaceDE w:val="0"/>
        <w:autoSpaceDN w:val="0"/>
        <w:adjustRightInd w:val="0"/>
        <w:ind w:left="709" w:firstLine="709"/>
        <w:rPr>
          <w:rFonts w:eastAsia="TimesNewRomanPSMT" w:cs="Times New Roman"/>
          <w:color w:val="00000A"/>
          <w:szCs w:val="24"/>
        </w:rPr>
      </w:pPr>
      <w:r w:rsidRPr="002F30E5">
        <w:rPr>
          <w:rFonts w:eastAsia="TimesNewRomanPSMT" w:cs="Times New Roman"/>
          <w:color w:val="00000A"/>
          <w:szCs w:val="24"/>
        </w:rPr>
        <w:t>Deleuze, G.</w:t>
      </w:r>
      <w:r>
        <w:rPr>
          <w:rFonts w:eastAsia="TimesNewRomanPSMT" w:cs="Times New Roman"/>
          <w:color w:val="00000A"/>
          <w:szCs w:val="24"/>
        </w:rPr>
        <w:t xml:space="preserve"> (1980)</w:t>
      </w:r>
      <w:r w:rsidRPr="002F30E5">
        <w:rPr>
          <w:rFonts w:eastAsia="TimesNewRomanPSMT" w:cs="Times New Roman"/>
          <w:color w:val="00000A"/>
          <w:szCs w:val="24"/>
        </w:rPr>
        <w:t xml:space="preserve"> “El cuerpo de Spinoza” en </w:t>
      </w:r>
      <w:r w:rsidRPr="002F30E5">
        <w:rPr>
          <w:rFonts w:cs="Times New Roman"/>
          <w:i/>
          <w:szCs w:val="24"/>
        </w:rPr>
        <w:t>Diálogos</w:t>
      </w:r>
      <w:r>
        <w:rPr>
          <w:rFonts w:cs="Times New Roman"/>
          <w:szCs w:val="24"/>
        </w:rPr>
        <w:t xml:space="preserve">. Valencia: </w:t>
      </w:r>
      <w:r w:rsidRPr="002F30E5">
        <w:rPr>
          <w:rFonts w:cs="Times New Roman"/>
          <w:szCs w:val="24"/>
        </w:rPr>
        <w:t>Pre-textos</w:t>
      </w:r>
      <w:r>
        <w:rPr>
          <w:rFonts w:cs="Times New Roman"/>
          <w:szCs w:val="24"/>
        </w:rPr>
        <w:t>, págs. 69-72.</w:t>
      </w:r>
    </w:p>
    <w:p w:rsidR="007D6FA1" w:rsidRDefault="007D6FA1" w:rsidP="00DF5D22">
      <w:pPr>
        <w:autoSpaceDE w:val="0"/>
        <w:autoSpaceDN w:val="0"/>
        <w:adjustRightInd w:val="0"/>
        <w:ind w:left="709" w:firstLine="709"/>
        <w:rPr>
          <w:rFonts w:eastAsia="TimesNewRomanPSMT" w:cs="Times New Roman"/>
          <w:color w:val="00000A"/>
          <w:szCs w:val="24"/>
        </w:rPr>
      </w:pPr>
      <w:r w:rsidRPr="002F30E5">
        <w:rPr>
          <w:rFonts w:eastAsia="TimesNewRomanPSMT" w:cs="Times New Roman"/>
          <w:color w:val="00000A"/>
          <w:szCs w:val="24"/>
        </w:rPr>
        <w:t xml:space="preserve">Deleuze, G. y Guattari, F. (2003). “Devenir-intenso, devenir-animal, devenir-imperceptible” en </w:t>
      </w:r>
      <w:r w:rsidRPr="002F30E5">
        <w:rPr>
          <w:rFonts w:eastAsia="TimesNewRomanPS-ItalicMT" w:cs="Times New Roman"/>
          <w:i/>
          <w:iCs/>
          <w:color w:val="00000A"/>
          <w:szCs w:val="24"/>
        </w:rPr>
        <w:t>Mil mesetas</w:t>
      </w:r>
      <w:r w:rsidRPr="002F30E5">
        <w:rPr>
          <w:rFonts w:eastAsia="TimesNewRomanPSMT" w:cs="Times New Roman"/>
          <w:color w:val="00000A"/>
          <w:szCs w:val="24"/>
        </w:rPr>
        <w:t xml:space="preserve">. Sin más datos bibliográficos: material provisto por la Cátedra. </w:t>
      </w:r>
    </w:p>
    <w:p w:rsidR="007D6FA1" w:rsidRDefault="007D6FA1" w:rsidP="00DF5D22">
      <w:pPr>
        <w:ind w:left="709" w:firstLine="709"/>
      </w:pPr>
      <w:r>
        <w:t>Maiakovski, V.</w:t>
      </w:r>
      <w:r w:rsidR="009F551C">
        <w:t xml:space="preserve"> (sin fecha).</w:t>
      </w:r>
      <w:r>
        <w:rPr>
          <w:i/>
        </w:rPr>
        <w:t>La chinche. Comedia de magia en nueve actos</w:t>
      </w:r>
      <w:r>
        <w:t xml:space="preserve">. Biblioteca Virtual Omegalfa. Recuperado de: </w:t>
      </w:r>
      <w:hyperlink r:id="rId8" w:history="1">
        <w:r>
          <w:rPr>
            <w:rStyle w:val="Hipervnculo"/>
          </w:rPr>
          <w:t>https://omegalfa.es/downloadfile.php?file=libros/la-chinche.pdf</w:t>
        </w:r>
      </w:hyperlink>
    </w:p>
    <w:p w:rsidR="007D6FA1" w:rsidRDefault="00E40938" w:rsidP="00DF5D22">
      <w:pPr>
        <w:autoSpaceDE w:val="0"/>
        <w:autoSpaceDN w:val="0"/>
        <w:adjustRightInd w:val="0"/>
        <w:ind w:left="709" w:firstLine="709"/>
        <w:rPr>
          <w:rFonts w:eastAsia="TimesNewRoman"/>
        </w:rPr>
      </w:pPr>
      <w:r>
        <w:rPr>
          <w:rFonts w:eastAsia="TimesNewRoman"/>
        </w:rPr>
        <w:t>Raffa, P</w:t>
      </w:r>
      <w:r w:rsidR="007D6FA1">
        <w:rPr>
          <w:rFonts w:eastAsia="TimesNewRoman"/>
        </w:rPr>
        <w:t xml:space="preserve">. </w:t>
      </w:r>
      <w:r>
        <w:rPr>
          <w:rFonts w:eastAsia="TimesNewRoman"/>
        </w:rPr>
        <w:t xml:space="preserve">(1968). </w:t>
      </w:r>
      <w:r w:rsidR="007D6FA1">
        <w:rPr>
          <w:rFonts w:eastAsia="TimesNewRoman"/>
        </w:rPr>
        <w:t xml:space="preserve">“Capítulo III. Futurismo y </w:t>
      </w:r>
      <w:r>
        <w:rPr>
          <w:rFonts w:eastAsia="TimesNewRoman"/>
        </w:rPr>
        <w:t>utopía socialista (</w:t>
      </w:r>
      <w:r w:rsidR="001045C6">
        <w:rPr>
          <w:rFonts w:eastAsia="TimesNewRoman"/>
        </w:rPr>
        <w:t>Maiakovski</w:t>
      </w:r>
      <w:r>
        <w:rPr>
          <w:rFonts w:eastAsia="TimesNewRoman"/>
        </w:rPr>
        <w:t>)”</w:t>
      </w:r>
      <w:r w:rsidR="007D6FA1">
        <w:rPr>
          <w:rFonts w:eastAsia="TimesNewRoman"/>
        </w:rPr>
        <w:t xml:space="preserve"> en </w:t>
      </w:r>
      <w:r w:rsidR="007D6FA1">
        <w:rPr>
          <w:rFonts w:eastAsia="TimesNewRoman"/>
          <w:i/>
        </w:rPr>
        <w:t>Vanguardia y realismo</w:t>
      </w:r>
      <w:r>
        <w:rPr>
          <w:rFonts w:eastAsia="TimesNewRoman"/>
        </w:rPr>
        <w:t>. Barcelona:</w:t>
      </w:r>
      <w:r w:rsidR="007D6FA1">
        <w:rPr>
          <w:rFonts w:eastAsia="TimesNewRoman"/>
        </w:rPr>
        <w:t xml:space="preserve"> Ediciones de Cultura Popular.</w:t>
      </w:r>
    </w:p>
    <w:p w:rsidR="00E40938" w:rsidRPr="00E40938" w:rsidRDefault="00E40938" w:rsidP="00DF5D22">
      <w:pPr>
        <w:autoSpaceDE w:val="0"/>
        <w:autoSpaceDN w:val="0"/>
        <w:adjustRightInd w:val="0"/>
        <w:ind w:left="709" w:firstLine="709"/>
        <w:rPr>
          <w:rFonts w:eastAsia="TimesNewRoman"/>
        </w:rPr>
      </w:pPr>
      <w:r>
        <w:rPr>
          <w:rFonts w:eastAsia="TimesNewRoman"/>
        </w:rPr>
        <w:t xml:space="preserve">Ripellino, A. (2005). “V. Historia de una chinche” en </w:t>
      </w:r>
      <w:r>
        <w:rPr>
          <w:rFonts w:eastAsia="TimesNewRoman"/>
          <w:i/>
        </w:rPr>
        <w:t>Mayakovsky y el teatro ruso de vanguardia</w:t>
      </w:r>
      <w:r>
        <w:rPr>
          <w:rFonts w:eastAsia="TimesNewRoman"/>
        </w:rPr>
        <w:t xml:space="preserve">. Sevilla: Editorial Doble J. </w:t>
      </w:r>
    </w:p>
    <w:p w:rsidR="007D6FA1" w:rsidRDefault="007D6FA1" w:rsidP="00DF5D22">
      <w:pPr>
        <w:ind w:firstLine="709"/>
      </w:pPr>
    </w:p>
    <w:p w:rsidR="007D6FA1" w:rsidRDefault="007D6FA1" w:rsidP="00DF5D22">
      <w:pPr>
        <w:autoSpaceDE w:val="0"/>
        <w:autoSpaceDN w:val="0"/>
        <w:adjustRightInd w:val="0"/>
        <w:ind w:left="709" w:firstLine="709"/>
        <w:rPr>
          <w:rFonts w:eastAsia="TimesNewRomanPSMT" w:cs="Times New Roman"/>
          <w:color w:val="00000A"/>
          <w:szCs w:val="24"/>
        </w:rPr>
      </w:pPr>
    </w:p>
    <w:p w:rsidR="007D6FA1" w:rsidRPr="007D6FA1" w:rsidRDefault="007D6FA1" w:rsidP="00DF5D22">
      <w:pPr>
        <w:ind w:firstLine="709"/>
        <w:rPr>
          <w:b/>
        </w:rPr>
      </w:pPr>
    </w:p>
    <w:sectPr w:rsidR="007D6FA1" w:rsidRPr="007D6FA1" w:rsidSect="00722DBC">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796" w:rsidRDefault="00202796" w:rsidP="00196B48">
      <w:pPr>
        <w:spacing w:line="240" w:lineRule="auto"/>
      </w:pPr>
      <w:r>
        <w:separator/>
      </w:r>
    </w:p>
  </w:endnote>
  <w:endnote w:type="continuationSeparator" w:id="1">
    <w:p w:rsidR="00202796" w:rsidRDefault="00202796" w:rsidP="00196B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796" w:rsidRDefault="00202796" w:rsidP="00196B48">
      <w:pPr>
        <w:spacing w:line="240" w:lineRule="auto"/>
      </w:pPr>
      <w:r>
        <w:separator/>
      </w:r>
    </w:p>
  </w:footnote>
  <w:footnote w:type="continuationSeparator" w:id="1">
    <w:p w:rsidR="00202796" w:rsidRDefault="00202796" w:rsidP="00196B48">
      <w:pPr>
        <w:spacing w:line="240" w:lineRule="auto"/>
      </w:pPr>
      <w:r>
        <w:continuationSeparator/>
      </w:r>
    </w:p>
  </w:footnote>
  <w:footnote w:id="2">
    <w:p w:rsidR="00DD7A3B" w:rsidRDefault="00DD7A3B">
      <w:pPr>
        <w:pStyle w:val="Textonotapie"/>
      </w:pPr>
      <w:r>
        <w:rPr>
          <w:rStyle w:val="Refdenotaalpie"/>
        </w:rPr>
        <w:footnoteRef/>
      </w:r>
      <w:r>
        <w:t xml:space="preserve"> Datos recuperados de “V. Historia de una chinche”, de AngeloMariaRipellino. </w:t>
      </w:r>
    </w:p>
  </w:footnote>
  <w:footnote w:id="3">
    <w:p w:rsidR="00DD7A3B" w:rsidRDefault="00DD7A3B">
      <w:pPr>
        <w:pStyle w:val="Textonotapie"/>
      </w:pPr>
      <w:r>
        <w:rPr>
          <w:rStyle w:val="Refdenotaalpie"/>
        </w:rPr>
        <w:footnoteRef/>
      </w:r>
      <w:r>
        <w:t xml:space="preserve"> “En los días de la NEP, los pequeño burgueses se arrastraban fuera de las hendiduras como chinches. Cubriéndose de etiquetas soviéticas y difuminando en lo grotesco las tesis del comunismo […]. La NEP tuvo sin duda sus lados positivos, por ejemplo el despertar de la vida ciudadana y la reactivación de los contactos con Occidente, pero todo fue como sumergido por el pésimo gusto de los nuevos ricos, los cuales anhelaban una exquisitez chabacana”. (Ripellino, 2005:174-175) </w:t>
      </w:r>
    </w:p>
  </w:footnote>
  <w:footnote w:id="4">
    <w:p w:rsidR="00DD7A3B" w:rsidRDefault="00DD7A3B">
      <w:pPr>
        <w:pStyle w:val="Textonotapie"/>
      </w:pPr>
      <w:r>
        <w:rPr>
          <w:rStyle w:val="Refdenotaalpie"/>
        </w:rPr>
        <w:footnoteRef/>
      </w:r>
      <w:r>
        <w:t xml:space="preserve"> “Los &lt;&lt;nepmany&gt;&gt;, agitados por apoderarse de las alegrías fugaces de la existencia, encontraban alivio en los juegos de azar, en las carreras de caballos, en los night-clubs de moda. Bandas de especuladores prosperaron en aquellos años febriles. Rusia pululaba de aventureros fantasiosos, de ávidos traficantes”. (Ripellino, 2005:175)</w:t>
      </w:r>
    </w:p>
  </w:footnote>
  <w:footnote w:id="5">
    <w:p w:rsidR="00DD7A3B" w:rsidRDefault="00DD7A3B">
      <w:pPr>
        <w:pStyle w:val="Textonotapie"/>
      </w:pPr>
      <w:r>
        <w:rPr>
          <w:rStyle w:val="Refdenotaalpie"/>
        </w:rPr>
        <w:footnoteRef/>
      </w:r>
      <w:r>
        <w:t xml:space="preserve"> Fuente: </w:t>
      </w:r>
      <w:hyperlink r:id="rId1" w:history="1">
        <w:r w:rsidRPr="00A64CBC">
          <w:rPr>
            <w:rStyle w:val="Hipervnculo"/>
            <w:color w:val="auto"/>
            <w:u w:val="none"/>
          </w:rPr>
          <w:t>http://www.losbailesdesalon.com/antiguos/foxtrot.html</w:t>
        </w:r>
      </w:hyperlink>
    </w:p>
  </w:footnote>
  <w:footnote w:id="6">
    <w:p w:rsidR="00DD7A3B" w:rsidRDefault="00DD7A3B">
      <w:pPr>
        <w:pStyle w:val="Textonotapie"/>
      </w:pPr>
      <w:r>
        <w:rPr>
          <w:rStyle w:val="Refdenotaalpie"/>
        </w:rPr>
        <w:footnoteRef/>
      </w:r>
      <w:r>
        <w:t xml:space="preserve"> En vista de su futuro matrimonio con una pequeño-burguesa, Prisipkin se cambia el nombre a Pierre Scripkin, más “notable y elegante” (Maiakovski, s.f.:12). </w:t>
      </w:r>
    </w:p>
  </w:footnote>
  <w:footnote w:id="7">
    <w:p w:rsidR="00DD7A3B" w:rsidRDefault="00DD7A3B" w:rsidP="00A533C9">
      <w:pPr>
        <w:pStyle w:val="Textonotapie"/>
      </w:pPr>
      <w:r w:rsidRPr="00494136">
        <w:rPr>
          <w:rStyle w:val="Refdenotaalpie"/>
          <w:sz w:val="18"/>
        </w:rPr>
        <w:footnoteRef/>
      </w:r>
      <w:r w:rsidRPr="00494136">
        <w:rPr>
          <w:sz w:val="18"/>
        </w:rPr>
        <w:t xml:space="preserve"> “Un devenir no es ni uno ni dos, ni relación de los dos, sino entre-dos, frontera o l</w:t>
      </w:r>
      <w:r w:rsidR="007473E9">
        <w:rPr>
          <w:sz w:val="18"/>
        </w:rPr>
        <w:t>ínea de fuga”. (Deleuze, 2003:</w:t>
      </w:r>
      <w:r w:rsidRPr="00494136">
        <w:rPr>
          <w:sz w:val="18"/>
        </w:rPr>
        <w:t>293</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7568"/>
    </w:tblGrid>
    <w:tr w:rsidR="00BB19A0">
      <w:tc>
        <w:tcPr>
          <w:tcW w:w="1152" w:type="dxa"/>
        </w:tcPr>
        <w:p w:rsidR="00BB19A0" w:rsidRDefault="00FB6AA1">
          <w:pPr>
            <w:pStyle w:val="Encabezado"/>
            <w:jc w:val="right"/>
            <w:rPr>
              <w:b/>
              <w:bCs/>
            </w:rPr>
          </w:pPr>
          <w:r>
            <w:fldChar w:fldCharType="begin"/>
          </w:r>
          <w:r w:rsidR="00BB19A0">
            <w:instrText>PAGE   \* MERGEFORMAT</w:instrText>
          </w:r>
          <w:r>
            <w:fldChar w:fldCharType="separate"/>
          </w:r>
          <w:r w:rsidR="00202796" w:rsidRPr="00202796">
            <w:rPr>
              <w:noProof/>
              <w:lang w:val="es-ES"/>
            </w:rPr>
            <w:t>1</w:t>
          </w:r>
          <w:r>
            <w:fldChar w:fldCharType="end"/>
          </w:r>
        </w:p>
      </w:tc>
      <w:tc>
        <w:tcPr>
          <w:tcW w:w="0" w:type="auto"/>
          <w:noWrap/>
        </w:tcPr>
        <w:p w:rsidR="00BB19A0" w:rsidRDefault="00BB19A0">
          <w:pPr>
            <w:pStyle w:val="Encabezado"/>
            <w:rPr>
              <w:b/>
              <w:bCs/>
            </w:rPr>
          </w:pPr>
          <w:r>
            <w:t>Anahí Álvarez. LU: 34.551.065</w:t>
          </w:r>
        </w:p>
      </w:tc>
    </w:tr>
  </w:tbl>
  <w:p w:rsidR="00E2025F" w:rsidRDefault="00E202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774"/>
    <w:multiLevelType w:val="hybridMultilevel"/>
    <w:tmpl w:val="7720843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769E52B5"/>
    <w:multiLevelType w:val="hybridMultilevel"/>
    <w:tmpl w:val="6344AF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C06415"/>
    <w:rsid w:val="00010F42"/>
    <w:rsid w:val="0002029B"/>
    <w:rsid w:val="000335B8"/>
    <w:rsid w:val="00043A21"/>
    <w:rsid w:val="000E3344"/>
    <w:rsid w:val="001045C6"/>
    <w:rsid w:val="00120DB6"/>
    <w:rsid w:val="001239C4"/>
    <w:rsid w:val="0012451C"/>
    <w:rsid w:val="001246D1"/>
    <w:rsid w:val="001653EA"/>
    <w:rsid w:val="0017021B"/>
    <w:rsid w:val="00196B48"/>
    <w:rsid w:val="00197ECF"/>
    <w:rsid w:val="001D432F"/>
    <w:rsid w:val="001E2AF5"/>
    <w:rsid w:val="001F0D21"/>
    <w:rsid w:val="00202796"/>
    <w:rsid w:val="00221517"/>
    <w:rsid w:val="00231338"/>
    <w:rsid w:val="00244487"/>
    <w:rsid w:val="00247351"/>
    <w:rsid w:val="00264B95"/>
    <w:rsid w:val="00265006"/>
    <w:rsid w:val="00272922"/>
    <w:rsid w:val="002A09A2"/>
    <w:rsid w:val="002E52D1"/>
    <w:rsid w:val="002E57D3"/>
    <w:rsid w:val="002E6296"/>
    <w:rsid w:val="002F2C11"/>
    <w:rsid w:val="00301C9F"/>
    <w:rsid w:val="00320C98"/>
    <w:rsid w:val="003862E7"/>
    <w:rsid w:val="003A3696"/>
    <w:rsid w:val="003B77FD"/>
    <w:rsid w:val="003F15B5"/>
    <w:rsid w:val="00400BD4"/>
    <w:rsid w:val="00415E74"/>
    <w:rsid w:val="00422F0F"/>
    <w:rsid w:val="004426A8"/>
    <w:rsid w:val="004502E6"/>
    <w:rsid w:val="00455E54"/>
    <w:rsid w:val="00461A2B"/>
    <w:rsid w:val="00466F92"/>
    <w:rsid w:val="00467A4D"/>
    <w:rsid w:val="004776D1"/>
    <w:rsid w:val="00492A79"/>
    <w:rsid w:val="00497F77"/>
    <w:rsid w:val="004C1B4B"/>
    <w:rsid w:val="004C5C48"/>
    <w:rsid w:val="004D53C4"/>
    <w:rsid w:val="004D5689"/>
    <w:rsid w:val="0050725B"/>
    <w:rsid w:val="00514DAB"/>
    <w:rsid w:val="00567375"/>
    <w:rsid w:val="005733CD"/>
    <w:rsid w:val="00576C1F"/>
    <w:rsid w:val="005862CC"/>
    <w:rsid w:val="00590FCE"/>
    <w:rsid w:val="005A7649"/>
    <w:rsid w:val="005B5EDF"/>
    <w:rsid w:val="005C117D"/>
    <w:rsid w:val="005C452F"/>
    <w:rsid w:val="005E1D42"/>
    <w:rsid w:val="00645771"/>
    <w:rsid w:val="00656271"/>
    <w:rsid w:val="006A1877"/>
    <w:rsid w:val="006A7A5D"/>
    <w:rsid w:val="00704472"/>
    <w:rsid w:val="00722DBC"/>
    <w:rsid w:val="00745603"/>
    <w:rsid w:val="007473E9"/>
    <w:rsid w:val="00750B08"/>
    <w:rsid w:val="0075773B"/>
    <w:rsid w:val="00762A0C"/>
    <w:rsid w:val="00773F8A"/>
    <w:rsid w:val="007D6FA1"/>
    <w:rsid w:val="00811982"/>
    <w:rsid w:val="00820F68"/>
    <w:rsid w:val="0082605F"/>
    <w:rsid w:val="008445DE"/>
    <w:rsid w:val="00844721"/>
    <w:rsid w:val="00870128"/>
    <w:rsid w:val="00875C74"/>
    <w:rsid w:val="008C0C6E"/>
    <w:rsid w:val="008D04F0"/>
    <w:rsid w:val="008D605B"/>
    <w:rsid w:val="008F210A"/>
    <w:rsid w:val="008F6169"/>
    <w:rsid w:val="00906A7F"/>
    <w:rsid w:val="00921FC8"/>
    <w:rsid w:val="00926B77"/>
    <w:rsid w:val="00927347"/>
    <w:rsid w:val="009669B8"/>
    <w:rsid w:val="0097367A"/>
    <w:rsid w:val="009A7B6F"/>
    <w:rsid w:val="009C2343"/>
    <w:rsid w:val="009D22F9"/>
    <w:rsid w:val="009E67C8"/>
    <w:rsid w:val="009F551C"/>
    <w:rsid w:val="00A533C9"/>
    <w:rsid w:val="00A64CBC"/>
    <w:rsid w:val="00A73539"/>
    <w:rsid w:val="00AE273E"/>
    <w:rsid w:val="00B12CA3"/>
    <w:rsid w:val="00B30D08"/>
    <w:rsid w:val="00B33C51"/>
    <w:rsid w:val="00B341BD"/>
    <w:rsid w:val="00B51C3D"/>
    <w:rsid w:val="00BA647A"/>
    <w:rsid w:val="00BB19A0"/>
    <w:rsid w:val="00BC2166"/>
    <w:rsid w:val="00BD503A"/>
    <w:rsid w:val="00BE431F"/>
    <w:rsid w:val="00BE6ACC"/>
    <w:rsid w:val="00BF5521"/>
    <w:rsid w:val="00C06415"/>
    <w:rsid w:val="00C22C3C"/>
    <w:rsid w:val="00C57570"/>
    <w:rsid w:val="00C63623"/>
    <w:rsid w:val="00C8643C"/>
    <w:rsid w:val="00CB0642"/>
    <w:rsid w:val="00CB54BD"/>
    <w:rsid w:val="00CF6FE6"/>
    <w:rsid w:val="00D05ADF"/>
    <w:rsid w:val="00D254BE"/>
    <w:rsid w:val="00D27978"/>
    <w:rsid w:val="00D710F5"/>
    <w:rsid w:val="00D74FBD"/>
    <w:rsid w:val="00D97964"/>
    <w:rsid w:val="00DA0C66"/>
    <w:rsid w:val="00DA6BF8"/>
    <w:rsid w:val="00DC6E18"/>
    <w:rsid w:val="00DD7A3B"/>
    <w:rsid w:val="00DE7D42"/>
    <w:rsid w:val="00DF5D22"/>
    <w:rsid w:val="00E035F6"/>
    <w:rsid w:val="00E2025F"/>
    <w:rsid w:val="00E40938"/>
    <w:rsid w:val="00E4248E"/>
    <w:rsid w:val="00E465F3"/>
    <w:rsid w:val="00E828FB"/>
    <w:rsid w:val="00E9788B"/>
    <w:rsid w:val="00EB07D2"/>
    <w:rsid w:val="00EC0049"/>
    <w:rsid w:val="00ED0043"/>
    <w:rsid w:val="00EF0A48"/>
    <w:rsid w:val="00F016F1"/>
    <w:rsid w:val="00F20A8D"/>
    <w:rsid w:val="00FB57C9"/>
    <w:rsid w:val="00FB6A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96B48"/>
    <w:pPr>
      <w:spacing w:line="240" w:lineRule="auto"/>
    </w:pPr>
    <w:rPr>
      <w:sz w:val="20"/>
      <w:szCs w:val="20"/>
    </w:rPr>
  </w:style>
  <w:style w:type="character" w:customStyle="1" w:styleId="TextonotapieCar">
    <w:name w:val="Texto nota pie Car"/>
    <w:basedOn w:val="Fuentedeprrafopredeter"/>
    <w:link w:val="Textonotapie"/>
    <w:uiPriority w:val="99"/>
    <w:semiHidden/>
    <w:rsid w:val="00196B48"/>
    <w:rPr>
      <w:sz w:val="20"/>
      <w:szCs w:val="20"/>
    </w:rPr>
  </w:style>
  <w:style w:type="character" w:styleId="Refdenotaalpie">
    <w:name w:val="footnote reference"/>
    <w:basedOn w:val="Fuentedeprrafopredeter"/>
    <w:uiPriority w:val="99"/>
    <w:semiHidden/>
    <w:unhideWhenUsed/>
    <w:rsid w:val="00196B48"/>
    <w:rPr>
      <w:vertAlign w:val="superscript"/>
    </w:rPr>
  </w:style>
  <w:style w:type="paragraph" w:styleId="Prrafodelista">
    <w:name w:val="List Paragraph"/>
    <w:basedOn w:val="Normal"/>
    <w:uiPriority w:val="34"/>
    <w:qFormat/>
    <w:rsid w:val="008C0C6E"/>
    <w:pPr>
      <w:ind w:left="720"/>
      <w:contextualSpacing/>
    </w:pPr>
  </w:style>
  <w:style w:type="character" w:styleId="Hipervnculo">
    <w:name w:val="Hyperlink"/>
    <w:basedOn w:val="Fuentedeprrafopredeter"/>
    <w:uiPriority w:val="99"/>
    <w:semiHidden/>
    <w:unhideWhenUsed/>
    <w:rsid w:val="00A64CBC"/>
    <w:rPr>
      <w:color w:val="0000FF"/>
      <w:u w:val="single"/>
    </w:rPr>
  </w:style>
  <w:style w:type="paragraph" w:styleId="Encabezado">
    <w:name w:val="header"/>
    <w:basedOn w:val="Normal"/>
    <w:link w:val="EncabezadoCar"/>
    <w:uiPriority w:val="99"/>
    <w:unhideWhenUsed/>
    <w:rsid w:val="00E2025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2025F"/>
  </w:style>
  <w:style w:type="paragraph" w:styleId="Piedepgina">
    <w:name w:val="footer"/>
    <w:basedOn w:val="Normal"/>
    <w:link w:val="PiedepginaCar"/>
    <w:uiPriority w:val="99"/>
    <w:unhideWhenUsed/>
    <w:rsid w:val="00E2025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2025F"/>
  </w:style>
  <w:style w:type="paragraph" w:styleId="Textodeglobo">
    <w:name w:val="Balloon Text"/>
    <w:basedOn w:val="Normal"/>
    <w:link w:val="TextodegloboCar"/>
    <w:uiPriority w:val="99"/>
    <w:semiHidden/>
    <w:unhideWhenUsed/>
    <w:rsid w:val="00BB19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96B48"/>
    <w:pPr>
      <w:spacing w:line="240" w:lineRule="auto"/>
    </w:pPr>
    <w:rPr>
      <w:sz w:val="20"/>
      <w:szCs w:val="20"/>
    </w:rPr>
  </w:style>
  <w:style w:type="character" w:customStyle="1" w:styleId="TextonotapieCar">
    <w:name w:val="Texto nota pie Car"/>
    <w:basedOn w:val="Fuentedeprrafopredeter"/>
    <w:link w:val="Textonotapie"/>
    <w:uiPriority w:val="99"/>
    <w:semiHidden/>
    <w:rsid w:val="00196B48"/>
    <w:rPr>
      <w:sz w:val="20"/>
      <w:szCs w:val="20"/>
    </w:rPr>
  </w:style>
  <w:style w:type="character" w:styleId="Refdenotaalpie">
    <w:name w:val="footnote reference"/>
    <w:basedOn w:val="Fuentedeprrafopredeter"/>
    <w:uiPriority w:val="99"/>
    <w:semiHidden/>
    <w:unhideWhenUsed/>
    <w:rsid w:val="00196B48"/>
    <w:rPr>
      <w:vertAlign w:val="superscript"/>
    </w:rPr>
  </w:style>
  <w:style w:type="paragraph" w:styleId="Prrafodelista">
    <w:name w:val="List Paragraph"/>
    <w:basedOn w:val="Normal"/>
    <w:uiPriority w:val="34"/>
    <w:qFormat/>
    <w:rsid w:val="008C0C6E"/>
    <w:pPr>
      <w:ind w:left="720"/>
      <w:contextualSpacing/>
    </w:pPr>
  </w:style>
  <w:style w:type="character" w:styleId="Hipervnculo">
    <w:name w:val="Hyperlink"/>
    <w:basedOn w:val="Fuentedeprrafopredeter"/>
    <w:uiPriority w:val="99"/>
    <w:semiHidden/>
    <w:unhideWhenUsed/>
    <w:rsid w:val="00A64CBC"/>
    <w:rPr>
      <w:color w:val="0000FF"/>
      <w:u w:val="single"/>
    </w:rPr>
  </w:style>
  <w:style w:type="paragraph" w:styleId="Encabezado">
    <w:name w:val="header"/>
    <w:basedOn w:val="Normal"/>
    <w:link w:val="EncabezadoCar"/>
    <w:uiPriority w:val="99"/>
    <w:unhideWhenUsed/>
    <w:rsid w:val="00E2025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2025F"/>
  </w:style>
  <w:style w:type="paragraph" w:styleId="Piedepgina">
    <w:name w:val="footer"/>
    <w:basedOn w:val="Normal"/>
    <w:link w:val="PiedepginaCar"/>
    <w:uiPriority w:val="99"/>
    <w:unhideWhenUsed/>
    <w:rsid w:val="00E2025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2025F"/>
  </w:style>
  <w:style w:type="paragraph" w:styleId="Textodeglobo">
    <w:name w:val="Balloon Text"/>
    <w:basedOn w:val="Normal"/>
    <w:link w:val="TextodegloboCar"/>
    <w:uiPriority w:val="99"/>
    <w:semiHidden/>
    <w:unhideWhenUsed/>
    <w:rsid w:val="00BB19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28076">
      <w:bodyDiv w:val="1"/>
      <w:marLeft w:val="0"/>
      <w:marRight w:val="0"/>
      <w:marTop w:val="0"/>
      <w:marBottom w:val="0"/>
      <w:divBdr>
        <w:top w:val="none" w:sz="0" w:space="0" w:color="auto"/>
        <w:left w:val="none" w:sz="0" w:space="0" w:color="auto"/>
        <w:bottom w:val="none" w:sz="0" w:space="0" w:color="auto"/>
        <w:right w:val="none" w:sz="0" w:space="0" w:color="auto"/>
      </w:divBdr>
    </w:div>
    <w:div w:id="910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egalfa.es/downloadfile.php?file=libros/la-chinche.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osbailesdesalon.com/antiguos/foxtro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67DE-2867-476D-B887-DF809BCB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2450</Words>
  <Characters>13480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Usuario</cp:lastModifiedBy>
  <cp:revision>4</cp:revision>
  <cp:lastPrinted>2019-06-26T14:33:00Z</cp:lastPrinted>
  <dcterms:created xsi:type="dcterms:W3CDTF">2019-07-07T12:23:00Z</dcterms:created>
  <dcterms:modified xsi:type="dcterms:W3CDTF">2019-07-09T23:15:00Z</dcterms:modified>
</cp:coreProperties>
</file>