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F838C" w14:textId="1AC5CFE4" w:rsidR="00E75DAB" w:rsidRDefault="00E75DAB">
      <w:pPr>
        <w:rPr>
          <w:b/>
          <w:bCs/>
          <w:lang w:val="hr-HR"/>
        </w:rPr>
      </w:pPr>
      <w:r w:rsidRPr="00EF5E07">
        <w:rPr>
          <w:b/>
          <w:bCs/>
          <w:lang w:val="hr-HR"/>
        </w:rPr>
        <w:t xml:space="preserve">El motivo </w:t>
      </w:r>
      <w:r w:rsidRPr="00EF5E07">
        <w:rPr>
          <w:b/>
          <w:bCs/>
        </w:rPr>
        <w:t xml:space="preserve">“anti-Borges” de la enciclopedia en </w:t>
      </w:r>
      <w:r w:rsidR="00D45BE4" w:rsidRPr="00EF5E07">
        <w:rPr>
          <w:b/>
          <w:bCs/>
        </w:rPr>
        <w:t xml:space="preserve">“La enciclopedia de los muertos” de </w:t>
      </w:r>
      <w:r w:rsidRPr="00EF5E07">
        <w:rPr>
          <w:b/>
          <w:bCs/>
        </w:rPr>
        <w:t>Danilo Ki</w:t>
      </w:r>
      <w:r w:rsidRPr="00EF5E07">
        <w:rPr>
          <w:b/>
          <w:bCs/>
          <w:lang w:val="hr-HR"/>
        </w:rPr>
        <w:t>š</w:t>
      </w:r>
    </w:p>
    <w:p w14:paraId="310C4CEF" w14:textId="58C0E00F" w:rsidR="00842E97" w:rsidRPr="00842E97" w:rsidRDefault="00842E97">
      <w:pPr>
        <w:rPr>
          <w:b/>
          <w:bCs/>
        </w:rPr>
      </w:pPr>
      <w:r>
        <w:rPr>
          <w:b/>
          <w:bCs/>
        </w:rPr>
        <w:t>Eugenio López Arriazu</w:t>
      </w:r>
    </w:p>
    <w:p w14:paraId="2D06542C" w14:textId="77777777" w:rsidR="00E75DAB" w:rsidRPr="00E75DAB" w:rsidRDefault="00E75DAB">
      <w:pPr>
        <w:rPr>
          <w:lang w:val="hr-HR"/>
        </w:rPr>
      </w:pPr>
    </w:p>
    <w:p w14:paraId="66D7EC4E" w14:textId="77777777" w:rsidR="000543E8" w:rsidRDefault="000543E8">
      <w:pPr>
        <w:rPr>
          <w:b/>
          <w:lang w:val="hr-HR"/>
        </w:rPr>
      </w:pPr>
      <w:r>
        <w:rPr>
          <w:b/>
          <w:lang w:val="hr-HR"/>
        </w:rPr>
        <w:t>Resumen</w:t>
      </w:r>
    </w:p>
    <w:p w14:paraId="049161C1" w14:textId="0ABF1D6F" w:rsidR="000543E8" w:rsidRPr="00BB08B8" w:rsidRDefault="000543E8" w:rsidP="00FF7825">
      <w:pPr>
        <w:spacing w:after="0"/>
      </w:pPr>
      <w:r>
        <w:rPr>
          <w:lang w:val="hr-HR"/>
        </w:rPr>
        <w:tab/>
        <w:t xml:space="preserve">Quien leyera a </w:t>
      </w:r>
      <w:r w:rsidR="00BB08B8">
        <w:rPr>
          <w:lang w:val="hr-HR"/>
        </w:rPr>
        <w:t xml:space="preserve">J. L. </w:t>
      </w:r>
      <w:r>
        <w:rPr>
          <w:lang w:val="hr-HR"/>
        </w:rPr>
        <w:t xml:space="preserve">Borges </w:t>
      </w:r>
      <w:r w:rsidR="00BB08B8">
        <w:rPr>
          <w:lang w:val="hr-HR"/>
        </w:rPr>
        <w:t>tras</w:t>
      </w:r>
      <w:r>
        <w:rPr>
          <w:lang w:val="hr-HR"/>
        </w:rPr>
        <w:t xml:space="preserve"> enterarse de que </w:t>
      </w:r>
      <w:r w:rsidR="00BB08B8">
        <w:rPr>
          <w:lang w:val="hr-HR"/>
        </w:rPr>
        <w:t xml:space="preserve">D. </w:t>
      </w:r>
      <w:r>
        <w:rPr>
          <w:lang w:val="hr-HR"/>
        </w:rPr>
        <w:t xml:space="preserve">Kiš era </w:t>
      </w:r>
      <w:r>
        <w:t xml:space="preserve">“borgiano”, llegaría </w:t>
      </w:r>
      <w:r w:rsidR="00BB08B8">
        <w:t>al escritor argentino a través de una poética particular, poco borgiana en última instancia. Como en “Kafka y sus precursores”, Kiš crea a Borges. La presente ponencia se propone, a través de un análisis del cuento de Ki</w:t>
      </w:r>
      <w:r w:rsidR="00BB08B8">
        <w:rPr>
          <w:lang w:val="hr-HR"/>
        </w:rPr>
        <w:t>š</w:t>
      </w:r>
      <w:r w:rsidR="00BB08B8" w:rsidRPr="00BB08B8">
        <w:t xml:space="preserve"> </w:t>
      </w:r>
      <w:r w:rsidR="00BB08B8">
        <w:t xml:space="preserve">“La enciclopedia de los muertos”, caracterizar primero las similitudes del motivo de la enciclopedia </w:t>
      </w:r>
      <w:r w:rsidR="00F17523">
        <w:t xml:space="preserve">en ambos escritores, </w:t>
      </w:r>
      <w:r w:rsidR="00BF3507">
        <w:t xml:space="preserve">tales como el ambiente onírico, la biblioteca, la paradoja y el mapa y el territorio, </w:t>
      </w:r>
      <w:r w:rsidR="00BB08B8">
        <w:t>para definir luego las diferencias entre la</w:t>
      </w:r>
      <w:r w:rsidR="004C5F92">
        <w:t>s</w:t>
      </w:r>
      <w:r w:rsidR="00BB08B8">
        <w:t xml:space="preserve"> enciclopedia</w:t>
      </w:r>
      <w:r w:rsidR="004C5F92">
        <w:t>s</w:t>
      </w:r>
      <w:r w:rsidR="00BB08B8">
        <w:t xml:space="preserve"> de Ki</w:t>
      </w:r>
      <w:r w:rsidR="00BB08B8">
        <w:rPr>
          <w:lang w:val="hr-HR"/>
        </w:rPr>
        <w:t xml:space="preserve">š </w:t>
      </w:r>
      <w:r w:rsidR="00BB08B8">
        <w:t xml:space="preserve">y </w:t>
      </w:r>
      <w:r w:rsidR="00BF3507">
        <w:t xml:space="preserve">de </w:t>
      </w:r>
      <w:r w:rsidR="00BB08B8">
        <w:t>Borges: una diferencia de poéticas</w:t>
      </w:r>
      <w:r w:rsidR="00BF3507">
        <w:t xml:space="preserve"> que implica, </w:t>
      </w:r>
      <w:r w:rsidR="009558E7">
        <w:t>como veremos</w:t>
      </w:r>
      <w:r w:rsidR="00BF3507">
        <w:t xml:space="preserve">, una concepción opuesta en muchos respectos. </w:t>
      </w:r>
      <w:r w:rsidR="004C5F92">
        <w:t>E</w:t>
      </w:r>
      <w:r w:rsidR="00F60E3D">
        <w:t>squematizar</w:t>
      </w:r>
      <w:r w:rsidR="004C5F92">
        <w:t>emos luego</w:t>
      </w:r>
      <w:r w:rsidR="00F60E3D">
        <w:t xml:space="preserve"> una serie de oposiciones que permitan, en un trabajo posterior, profundizar sobre las concepciones de la literatura de ambos autores. </w:t>
      </w:r>
    </w:p>
    <w:p w14:paraId="585FCE6D" w14:textId="77777777" w:rsidR="00807BC5" w:rsidRDefault="00807BC5">
      <w:pPr>
        <w:rPr>
          <w:b/>
          <w:lang w:val="hr-HR"/>
        </w:rPr>
      </w:pPr>
    </w:p>
    <w:p w14:paraId="21BC7D04" w14:textId="77777777" w:rsidR="00CF3034" w:rsidRDefault="00CF3034" w:rsidP="00FF7825">
      <w:pPr>
        <w:spacing w:after="0" w:line="360" w:lineRule="auto"/>
        <w:rPr>
          <w:b/>
          <w:lang w:val="hr-HR"/>
        </w:rPr>
      </w:pPr>
    </w:p>
    <w:p w14:paraId="1EF7BABB" w14:textId="73D43FAB" w:rsidR="00FF7825" w:rsidRDefault="00FF7825" w:rsidP="00FF7825">
      <w:pPr>
        <w:spacing w:after="0" w:line="360" w:lineRule="auto"/>
        <w:rPr>
          <w:bCs/>
          <w:lang w:val="hr-HR"/>
        </w:rPr>
      </w:pPr>
      <w:r w:rsidRPr="00FF7825">
        <w:rPr>
          <w:bCs/>
          <w:lang w:val="hr-HR"/>
        </w:rPr>
        <w:tab/>
        <w:t>Cuando</w:t>
      </w:r>
      <w:r>
        <w:rPr>
          <w:bCs/>
          <w:lang w:val="hr-HR"/>
        </w:rPr>
        <w:t xml:space="preserve"> </w:t>
      </w:r>
      <w:r w:rsidR="00444DC5">
        <w:rPr>
          <w:bCs/>
          <w:lang w:val="hr-HR"/>
        </w:rPr>
        <w:t xml:space="preserve">el serbio </w:t>
      </w:r>
      <w:r>
        <w:rPr>
          <w:bCs/>
          <w:lang w:val="hr-HR"/>
        </w:rPr>
        <w:t xml:space="preserve">Danilo Kiš publica en 1983 </w:t>
      </w:r>
      <w:r>
        <w:rPr>
          <w:bCs/>
          <w:i/>
          <w:iCs/>
          <w:lang w:val="hr-HR"/>
        </w:rPr>
        <w:t>La enciclopedia de los muertos</w:t>
      </w:r>
      <w:r>
        <w:rPr>
          <w:bCs/>
          <w:lang w:val="hr-HR"/>
        </w:rPr>
        <w:t>, la crítica francesa lo llama “el Borges balcánico</w:t>
      </w:r>
      <w:r>
        <w:rPr>
          <w:bCs/>
        </w:rPr>
        <w:t>”. En palabras de P. Freixa Terradas, el libro “representa la eclosión del estilo borgiano en el conjunto de la obra de Ki</w:t>
      </w:r>
      <w:r>
        <w:rPr>
          <w:bCs/>
          <w:lang w:val="hr-HR"/>
        </w:rPr>
        <w:t>š</w:t>
      </w:r>
      <w:r w:rsidR="00444DC5">
        <w:rPr>
          <w:bCs/>
        </w:rPr>
        <w:t>”</w:t>
      </w:r>
      <w:r>
        <w:rPr>
          <w:bCs/>
          <w:lang w:val="hr-HR"/>
        </w:rPr>
        <w:t xml:space="preserve"> (2016: 267).</w:t>
      </w:r>
      <w:r w:rsidR="00444DC5">
        <w:rPr>
          <w:bCs/>
          <w:lang w:val="hr-HR"/>
        </w:rPr>
        <w:t xml:space="preserve"> </w:t>
      </w:r>
      <w:r w:rsidR="00BE2D23">
        <w:rPr>
          <w:bCs/>
        </w:rPr>
        <w:t xml:space="preserve">“Eclosión” es un </w:t>
      </w:r>
      <w:r w:rsidR="00BC62F8">
        <w:rPr>
          <w:bCs/>
        </w:rPr>
        <w:t>sustantivo</w:t>
      </w:r>
      <w:r w:rsidR="00BE2D23">
        <w:rPr>
          <w:bCs/>
        </w:rPr>
        <w:t xml:space="preserve"> adecuado</w:t>
      </w:r>
      <w:r w:rsidR="00481A1F">
        <w:rPr>
          <w:bCs/>
        </w:rPr>
        <w:t>:</w:t>
      </w:r>
      <w:r w:rsidR="00BE2D23">
        <w:rPr>
          <w:bCs/>
        </w:rPr>
        <w:t xml:space="preserve"> </w:t>
      </w:r>
      <w:r w:rsidR="007A0EEA">
        <w:rPr>
          <w:bCs/>
        </w:rPr>
        <w:t xml:space="preserve">si bien </w:t>
      </w:r>
      <w:r w:rsidR="00BE2D23">
        <w:rPr>
          <w:bCs/>
        </w:rPr>
        <w:t>Ki</w:t>
      </w:r>
      <w:r w:rsidR="00BE2D23">
        <w:rPr>
          <w:bCs/>
          <w:lang w:val="hr-HR"/>
        </w:rPr>
        <w:t xml:space="preserve">š </w:t>
      </w:r>
      <w:r w:rsidR="00001D12">
        <w:rPr>
          <w:bCs/>
        </w:rPr>
        <w:t>habría frecuentado</w:t>
      </w:r>
      <w:r w:rsidR="00BE2D23">
        <w:rPr>
          <w:bCs/>
        </w:rPr>
        <w:t xml:space="preserve"> la obra de Borges desde sus primeras traducciones al francés</w:t>
      </w:r>
      <w:r w:rsidR="00481A1F">
        <w:rPr>
          <w:bCs/>
        </w:rPr>
        <w:t>,</w:t>
      </w:r>
      <w:r w:rsidR="00E11628">
        <w:rPr>
          <w:rStyle w:val="Refdenotaalpie"/>
          <w:bCs/>
        </w:rPr>
        <w:footnoteReference w:id="1"/>
      </w:r>
      <w:r w:rsidR="00F17902">
        <w:rPr>
          <w:bCs/>
        </w:rPr>
        <w:t xml:space="preserve"> </w:t>
      </w:r>
      <w:r w:rsidR="00481A1F">
        <w:rPr>
          <w:bCs/>
        </w:rPr>
        <w:t xml:space="preserve">en </w:t>
      </w:r>
      <w:r w:rsidR="00481A1F">
        <w:rPr>
          <w:bCs/>
          <w:i/>
          <w:iCs/>
        </w:rPr>
        <w:t xml:space="preserve">La enciclopedia de los muertos </w:t>
      </w:r>
      <w:r w:rsidR="00481A1F">
        <w:rPr>
          <w:bCs/>
        </w:rPr>
        <w:t xml:space="preserve">parece redoblar una apuesta por la que </w:t>
      </w:r>
      <w:r w:rsidR="00001D12">
        <w:rPr>
          <w:bCs/>
        </w:rPr>
        <w:t xml:space="preserve">ya </w:t>
      </w:r>
      <w:r w:rsidR="00481A1F">
        <w:rPr>
          <w:bCs/>
        </w:rPr>
        <w:t>se lo había impugnado. L</w:t>
      </w:r>
      <w:r w:rsidR="00BE2D23">
        <w:rPr>
          <w:bCs/>
          <w:lang w:val="hr-HR"/>
        </w:rPr>
        <w:t>o que en Francia es un elogio</w:t>
      </w:r>
      <w:r w:rsidR="00F17902">
        <w:rPr>
          <w:bCs/>
          <w:lang w:val="hr-HR"/>
        </w:rPr>
        <w:t xml:space="preserve"> en 1983</w:t>
      </w:r>
      <w:r w:rsidR="00BE2D23">
        <w:rPr>
          <w:bCs/>
          <w:lang w:val="hr-HR"/>
        </w:rPr>
        <w:t>, había sido acusación en Serbia</w:t>
      </w:r>
      <w:r w:rsidR="00F17902">
        <w:rPr>
          <w:bCs/>
          <w:lang w:val="hr-HR"/>
        </w:rPr>
        <w:t xml:space="preserve"> con motivo de </w:t>
      </w:r>
      <w:r w:rsidR="00F17902">
        <w:rPr>
          <w:bCs/>
          <w:i/>
          <w:iCs/>
          <w:lang w:val="hr-HR"/>
        </w:rPr>
        <w:t xml:space="preserve">Una tumba para </w:t>
      </w:r>
      <w:r w:rsidR="005B43CF">
        <w:rPr>
          <w:bCs/>
          <w:i/>
          <w:iCs/>
          <w:lang w:val="hr-HR"/>
        </w:rPr>
        <w:t>Boris</w:t>
      </w:r>
      <w:r w:rsidR="00F17902">
        <w:rPr>
          <w:bCs/>
          <w:i/>
          <w:iCs/>
          <w:lang w:val="hr-HR"/>
        </w:rPr>
        <w:t xml:space="preserve"> Davidovich</w:t>
      </w:r>
      <w:r w:rsidR="00713E24">
        <w:rPr>
          <w:bCs/>
          <w:lang w:val="hr-HR"/>
        </w:rPr>
        <w:t xml:space="preserve">, ganadora en 1977 del premio </w:t>
      </w:r>
      <w:r w:rsidR="00713E24">
        <w:rPr>
          <w:bCs/>
        </w:rPr>
        <w:t>“Iván Goran Kova</w:t>
      </w:r>
      <w:r w:rsidR="00713E24">
        <w:rPr>
          <w:bCs/>
          <w:lang w:val="hr-HR"/>
        </w:rPr>
        <w:t>čić</w:t>
      </w:r>
      <w:r w:rsidR="00713E24">
        <w:rPr>
          <w:bCs/>
        </w:rPr>
        <w:t>” al mejor libro del año</w:t>
      </w:r>
      <w:r w:rsidR="00F17902">
        <w:rPr>
          <w:bCs/>
          <w:i/>
          <w:iCs/>
          <w:lang w:val="hr-HR"/>
        </w:rPr>
        <w:t xml:space="preserve">. </w:t>
      </w:r>
      <w:r w:rsidR="00713E24">
        <w:rPr>
          <w:bCs/>
        </w:rPr>
        <w:t>Se lo acusa de plagi</w:t>
      </w:r>
      <w:r w:rsidR="00556F9E">
        <w:rPr>
          <w:bCs/>
        </w:rPr>
        <w:t>ar</w:t>
      </w:r>
      <w:r w:rsidR="00713E24">
        <w:rPr>
          <w:bCs/>
        </w:rPr>
        <w:t xml:space="preserve">, no solo </w:t>
      </w:r>
      <w:r w:rsidR="00556F9E">
        <w:rPr>
          <w:bCs/>
        </w:rPr>
        <w:t>a</w:t>
      </w:r>
      <w:r w:rsidR="00713E24">
        <w:rPr>
          <w:bCs/>
        </w:rPr>
        <w:t xml:space="preserve"> Borges, sino en general </w:t>
      </w:r>
      <w:r w:rsidR="00556F9E">
        <w:rPr>
          <w:bCs/>
        </w:rPr>
        <w:t>a</w:t>
      </w:r>
      <w:r w:rsidR="00713E24">
        <w:rPr>
          <w:bCs/>
        </w:rPr>
        <w:t xml:space="preserve"> los autores “burgueses” del modernismo occidental.</w:t>
      </w:r>
      <w:r w:rsidR="00556F9E">
        <w:rPr>
          <w:bCs/>
        </w:rPr>
        <w:t xml:space="preserve"> Un crítico bajo el seudónimo de “Pigeon”</w:t>
      </w:r>
      <w:r w:rsidR="00713E24">
        <w:rPr>
          <w:bCs/>
        </w:rPr>
        <w:t xml:space="preserve"> </w:t>
      </w:r>
      <w:r w:rsidR="00556F9E">
        <w:rPr>
          <w:bCs/>
        </w:rPr>
        <w:t>califica el libro como “un collar de perlas ajenas” (en Ki</w:t>
      </w:r>
      <w:r w:rsidR="00556F9E">
        <w:rPr>
          <w:bCs/>
          <w:lang w:val="hr-HR"/>
        </w:rPr>
        <w:t>š</w:t>
      </w:r>
      <w:r w:rsidR="00556F9E">
        <w:rPr>
          <w:bCs/>
        </w:rPr>
        <w:t xml:space="preserve">, 1979: 17). Kiš </w:t>
      </w:r>
      <w:r w:rsidR="00955B97">
        <w:rPr>
          <w:bCs/>
        </w:rPr>
        <w:t>responde con</w:t>
      </w:r>
      <w:r w:rsidR="00BC62F8">
        <w:rPr>
          <w:bCs/>
        </w:rPr>
        <w:t xml:space="preserve"> </w:t>
      </w:r>
      <w:r w:rsidR="00556F9E">
        <w:rPr>
          <w:bCs/>
          <w:i/>
          <w:iCs/>
        </w:rPr>
        <w:t xml:space="preserve">La lección de anatomía </w:t>
      </w:r>
      <w:r w:rsidR="00556F9E" w:rsidRPr="00556F9E">
        <w:rPr>
          <w:bCs/>
        </w:rPr>
        <w:t>(1979)</w:t>
      </w:r>
      <w:r w:rsidR="00556F9E">
        <w:rPr>
          <w:bCs/>
        </w:rPr>
        <w:t>, una obra maestra de crítica literaria, en la que ataca a sus detractores: el presidente de la asociación de escritores Dragan Jeremi</w:t>
      </w:r>
      <w:r w:rsidR="00556F9E">
        <w:rPr>
          <w:bCs/>
          <w:lang w:val="hr-HR"/>
        </w:rPr>
        <w:t xml:space="preserve">ć, el escritor Branimir Šćepanović </w:t>
      </w:r>
      <w:r w:rsidR="00556F9E">
        <w:rPr>
          <w:bCs/>
        </w:rPr>
        <w:t>y “Pigeon”</w:t>
      </w:r>
      <w:r w:rsidR="00E32942">
        <w:rPr>
          <w:bCs/>
        </w:rPr>
        <w:t xml:space="preserve"> (</w:t>
      </w:r>
      <w:r w:rsidR="00955B97">
        <w:rPr>
          <w:bCs/>
        </w:rPr>
        <w:t xml:space="preserve">aparentemente, </w:t>
      </w:r>
      <w:r w:rsidR="00E32942">
        <w:rPr>
          <w:bCs/>
        </w:rPr>
        <w:t>el periodista Dragoljub Golubovi</w:t>
      </w:r>
      <w:r w:rsidR="00E32942">
        <w:rPr>
          <w:bCs/>
          <w:lang w:val="hr-HR"/>
        </w:rPr>
        <w:t>ć</w:t>
      </w:r>
      <w:r w:rsidR="00955B97">
        <w:rPr>
          <w:bCs/>
          <w:lang w:val="hr-HR"/>
        </w:rPr>
        <w:t>;</w:t>
      </w:r>
      <w:r w:rsidR="00E32942">
        <w:rPr>
          <w:bCs/>
          <w:lang w:val="hr-HR"/>
        </w:rPr>
        <w:t xml:space="preserve"> cf. Štainfeld </w:t>
      </w:r>
      <w:r w:rsidR="00E32942" w:rsidRPr="00E44066">
        <w:rPr>
          <w:bCs/>
          <w:i/>
          <w:iCs/>
          <w:lang w:val="hr-HR"/>
        </w:rPr>
        <w:t>et al</w:t>
      </w:r>
      <w:r w:rsidR="00E32942">
        <w:rPr>
          <w:bCs/>
          <w:lang w:val="hr-HR"/>
        </w:rPr>
        <w:t xml:space="preserve">, 2019: 33). </w:t>
      </w:r>
    </w:p>
    <w:p w14:paraId="0F7FC748" w14:textId="19887E6A" w:rsidR="00143FB5" w:rsidRDefault="00212766" w:rsidP="00FF7825">
      <w:pPr>
        <w:spacing w:after="0" w:line="360" w:lineRule="auto"/>
        <w:rPr>
          <w:bCs/>
          <w:lang w:val="hr-HR"/>
        </w:rPr>
      </w:pPr>
      <w:r>
        <w:rPr>
          <w:bCs/>
          <w:lang w:val="hr-HR"/>
        </w:rPr>
        <w:lastRenderedPageBreak/>
        <w:tab/>
        <w:t>Podemos leer allí una defensa de Borges, sobre todo en su concepción de los derechos de un escritor periférico a la literatura universal, pero también una distancia. La ambivalencia se refleja</w:t>
      </w:r>
      <w:r w:rsidR="00E44066">
        <w:rPr>
          <w:bCs/>
          <w:lang w:val="hr-HR"/>
        </w:rPr>
        <w:t xml:space="preserve"> en los extremos de</w:t>
      </w:r>
      <w:r>
        <w:rPr>
          <w:bCs/>
          <w:lang w:val="hr-HR"/>
        </w:rPr>
        <w:t xml:space="preserve"> la crítica. Iosif Brodski, en su prólogo a la edición estadounidense de </w:t>
      </w:r>
      <w:r>
        <w:rPr>
          <w:bCs/>
          <w:i/>
          <w:iCs/>
          <w:lang w:val="hr-HR"/>
        </w:rPr>
        <w:t>Una tumba</w:t>
      </w:r>
      <w:r>
        <w:rPr>
          <w:bCs/>
          <w:lang w:val="hr-HR"/>
        </w:rPr>
        <w:t xml:space="preserve">, de 1980, </w:t>
      </w:r>
      <w:r w:rsidR="00143FB5">
        <w:rPr>
          <w:bCs/>
          <w:lang w:val="hr-HR"/>
        </w:rPr>
        <w:t xml:space="preserve">descarta </w:t>
      </w:r>
      <w:r w:rsidR="00E91937">
        <w:rPr>
          <w:bCs/>
          <w:lang w:val="hr-HR"/>
        </w:rPr>
        <w:t xml:space="preserve">directamente </w:t>
      </w:r>
      <w:r w:rsidR="00143FB5">
        <w:rPr>
          <w:bCs/>
          <w:lang w:val="hr-HR"/>
        </w:rPr>
        <w:t>una influencia borgiana. Argumenta que</w:t>
      </w:r>
      <w:r w:rsidR="00B86946">
        <w:rPr>
          <w:bCs/>
          <w:lang w:val="hr-HR"/>
        </w:rPr>
        <w:t>, según quienes lo acusan,</w:t>
      </w:r>
      <w:r w:rsidR="00143FB5">
        <w:rPr>
          <w:bCs/>
          <w:lang w:val="hr-HR"/>
        </w:rPr>
        <w:t xml:space="preserve"> </w:t>
      </w:r>
    </w:p>
    <w:p w14:paraId="6D341596" w14:textId="77777777" w:rsidR="00143FB5" w:rsidRDefault="00143FB5" w:rsidP="00FF7825">
      <w:pPr>
        <w:spacing w:after="0" w:line="360" w:lineRule="auto"/>
        <w:rPr>
          <w:bCs/>
          <w:lang w:val="hr-HR"/>
        </w:rPr>
      </w:pPr>
    </w:p>
    <w:p w14:paraId="3309C869" w14:textId="6DD5E77E" w:rsidR="00212766" w:rsidRPr="00143FB5" w:rsidRDefault="00B86946" w:rsidP="00143FB5">
      <w:pPr>
        <w:spacing w:after="0" w:line="360" w:lineRule="auto"/>
        <w:ind w:left="1134"/>
        <w:rPr>
          <w:bCs/>
          <w:sz w:val="22"/>
        </w:rPr>
      </w:pPr>
      <w:r>
        <w:rPr>
          <w:bCs/>
          <w:sz w:val="22"/>
          <w:lang w:val="hr-HR"/>
        </w:rPr>
        <w:t>l</w:t>
      </w:r>
      <w:r>
        <w:rPr>
          <w:bCs/>
          <w:sz w:val="22"/>
        </w:rPr>
        <w:t xml:space="preserve">a </w:t>
      </w:r>
      <w:r w:rsidR="00143FB5" w:rsidRPr="00143FB5">
        <w:rPr>
          <w:bCs/>
          <w:sz w:val="22"/>
        </w:rPr>
        <w:t>presencia de Borges es de naturaleza menos obvia y busca comprometer estilísticamente el libro, tratando de reducir la técnica de estampas o viñetas empleada por Ki</w:t>
      </w:r>
      <w:r w:rsidR="00143FB5" w:rsidRPr="00143FB5">
        <w:rPr>
          <w:bCs/>
          <w:sz w:val="22"/>
          <w:lang w:val="hr-HR"/>
        </w:rPr>
        <w:t>š</w:t>
      </w:r>
      <w:r w:rsidR="00143FB5" w:rsidRPr="00143FB5">
        <w:rPr>
          <w:bCs/>
          <w:sz w:val="22"/>
        </w:rPr>
        <w:t xml:space="preserve"> en sus cuentos moralizantes a un manierismo que toma prestado de un notable argentino: pero eso es un disparate. Kiš es un notable estilista, y la fábrica de su escritura tiene más en común con Kafka o con Bruno Schulz o con los autores franceses del </w:t>
      </w:r>
      <w:r w:rsidR="00143FB5" w:rsidRPr="00143FB5">
        <w:rPr>
          <w:bCs/>
          <w:i/>
          <w:iCs/>
          <w:sz w:val="22"/>
        </w:rPr>
        <w:t>nouveau roman</w:t>
      </w:r>
      <w:r w:rsidR="00143FB5" w:rsidRPr="00143FB5">
        <w:rPr>
          <w:bCs/>
          <w:sz w:val="22"/>
        </w:rPr>
        <w:t xml:space="preserve"> que con cualquier otro del Tercer Mundo</w:t>
      </w:r>
      <w:r w:rsidR="00143FB5">
        <w:rPr>
          <w:bCs/>
          <w:sz w:val="22"/>
        </w:rPr>
        <w:t xml:space="preserve"> (Ki</w:t>
      </w:r>
      <w:r w:rsidR="00143FB5">
        <w:rPr>
          <w:bCs/>
          <w:sz w:val="22"/>
          <w:lang w:val="hr-HR"/>
        </w:rPr>
        <w:t>š, 2007: 7)</w:t>
      </w:r>
      <w:r w:rsidR="00143FB5" w:rsidRPr="00143FB5">
        <w:rPr>
          <w:bCs/>
          <w:sz w:val="22"/>
        </w:rPr>
        <w:t xml:space="preserve">.  </w:t>
      </w:r>
    </w:p>
    <w:p w14:paraId="4BDB91D4" w14:textId="77777777" w:rsidR="00BC62F8" w:rsidRDefault="00BC62F8" w:rsidP="00FF7825">
      <w:pPr>
        <w:spacing w:after="0" w:line="360" w:lineRule="auto"/>
        <w:rPr>
          <w:bCs/>
          <w:lang w:val="hr-HR"/>
        </w:rPr>
      </w:pPr>
    </w:p>
    <w:p w14:paraId="7BAA159D" w14:textId="2BE5B1DA" w:rsidR="00E91937" w:rsidRDefault="00E91937" w:rsidP="00A33EC6">
      <w:pPr>
        <w:tabs>
          <w:tab w:val="left" w:pos="709"/>
        </w:tabs>
        <w:spacing w:after="0" w:line="360" w:lineRule="auto"/>
        <w:rPr>
          <w:bCs/>
          <w:lang w:val="sr-Latn-RS"/>
        </w:rPr>
      </w:pPr>
      <w:r>
        <w:rPr>
          <w:bCs/>
          <w:lang w:val="hr-HR"/>
        </w:rPr>
        <w:tab/>
      </w:r>
      <w:r>
        <w:rPr>
          <w:bCs/>
        </w:rPr>
        <w:t>No obstante, el mismo Ki</w:t>
      </w:r>
      <w:r>
        <w:rPr>
          <w:bCs/>
          <w:lang w:val="hr-HR"/>
        </w:rPr>
        <w:t xml:space="preserve">š </w:t>
      </w:r>
      <w:r w:rsidR="00A13DAC">
        <w:rPr>
          <w:bCs/>
          <w:lang w:val="hr-HR"/>
        </w:rPr>
        <w:t>señala</w:t>
      </w:r>
      <w:r>
        <w:rPr>
          <w:bCs/>
        </w:rPr>
        <w:t xml:space="preserve"> una sintonía al defender</w:t>
      </w:r>
      <w:r w:rsidR="005B43CF">
        <w:rPr>
          <w:bCs/>
        </w:rPr>
        <w:t xml:space="preserve"> en </w:t>
      </w:r>
      <w:r w:rsidR="005B43CF">
        <w:rPr>
          <w:bCs/>
          <w:i/>
          <w:iCs/>
        </w:rPr>
        <w:t>La lección de anatomía</w:t>
      </w:r>
      <w:r>
        <w:rPr>
          <w:bCs/>
        </w:rPr>
        <w:t xml:space="preserve"> la técnica narrativa de Borges</w:t>
      </w:r>
      <w:r w:rsidR="007A0EEA">
        <w:rPr>
          <w:bCs/>
        </w:rPr>
        <w:t>. Hay, según Ki</w:t>
      </w:r>
      <w:r w:rsidR="00071FA5">
        <w:rPr>
          <w:bCs/>
          <w:lang w:val="sr-Latn-RS"/>
        </w:rPr>
        <w:t xml:space="preserve">š, </w:t>
      </w:r>
      <w:r w:rsidR="00A13DAC">
        <w:rPr>
          <w:bCs/>
          <w:lang w:val="sr-Latn-RS"/>
        </w:rPr>
        <w:t xml:space="preserve">un antes y un después: </w:t>
      </w:r>
    </w:p>
    <w:p w14:paraId="7B10BE1C" w14:textId="77777777" w:rsidR="00E77014" w:rsidRPr="00071FA5" w:rsidRDefault="00E77014" w:rsidP="00FF7825">
      <w:pPr>
        <w:spacing w:after="0" w:line="360" w:lineRule="auto"/>
        <w:rPr>
          <w:bCs/>
          <w:lang w:val="sr-Latn-RS"/>
        </w:rPr>
      </w:pPr>
    </w:p>
    <w:p w14:paraId="44E26CE7" w14:textId="6A7312D0" w:rsidR="00143FB5" w:rsidRPr="00E77014" w:rsidRDefault="007A0EEA" w:rsidP="00E77014">
      <w:pPr>
        <w:spacing w:after="0" w:line="360" w:lineRule="auto"/>
        <w:ind w:left="1134"/>
        <w:rPr>
          <w:bCs/>
          <w:sz w:val="22"/>
          <w:lang w:val="sr-Latn-RS"/>
        </w:rPr>
      </w:pPr>
      <w:r>
        <w:rPr>
          <w:bCs/>
          <w:lang w:val="hr-HR"/>
        </w:rPr>
        <w:tab/>
      </w:r>
      <w:r w:rsidR="00281344" w:rsidRPr="00E77014">
        <w:rPr>
          <w:bCs/>
          <w:sz w:val="22"/>
          <w:lang w:val="hr-HR"/>
        </w:rPr>
        <w:t>Y no pienso aquí en la ampliación del campo de la realida</w:t>
      </w:r>
      <w:r w:rsidR="00926593" w:rsidRPr="00E77014">
        <w:rPr>
          <w:bCs/>
          <w:sz w:val="22"/>
          <w:lang w:val="hr-HR"/>
        </w:rPr>
        <w:t>d</w:t>
      </w:r>
      <w:r w:rsidR="00281344" w:rsidRPr="00E77014">
        <w:rPr>
          <w:bCs/>
          <w:sz w:val="22"/>
          <w:lang w:val="hr-HR"/>
        </w:rPr>
        <w:t xml:space="preserve"> (orientado a lo fantástico), sino, en primer lugar, a la técnica misma de la narración: </w:t>
      </w:r>
      <w:r w:rsidR="00E77014" w:rsidRPr="00E77014">
        <w:rPr>
          <w:bCs/>
          <w:sz w:val="22"/>
          <w:lang w:val="hr-HR"/>
        </w:rPr>
        <w:t xml:space="preserve">la </w:t>
      </w:r>
      <w:r w:rsidR="00A33EC6">
        <w:rPr>
          <w:bCs/>
          <w:sz w:val="22"/>
          <w:lang w:val="hr-HR"/>
        </w:rPr>
        <w:t>narración</w:t>
      </w:r>
      <w:r w:rsidR="00E77014" w:rsidRPr="00E77014">
        <w:rPr>
          <w:bCs/>
          <w:sz w:val="22"/>
        </w:rPr>
        <w:t xml:space="preserve"> de Maupassant, Chéjov y O. Henry, que tendía al detalle y creaba su campo de mitologemas por inducción, fue reemplazada en Borges por una hazaña mágica y revolucionaria, la deducción, que </w:t>
      </w:r>
      <w:r w:rsidR="00E44066">
        <w:rPr>
          <w:bCs/>
          <w:sz w:val="22"/>
        </w:rPr>
        <w:t>no es más que</w:t>
      </w:r>
      <w:r w:rsidR="00E77014" w:rsidRPr="00E77014">
        <w:rPr>
          <w:bCs/>
          <w:sz w:val="22"/>
        </w:rPr>
        <w:t xml:space="preserve"> otro nombre para una especie de simbolismo narrativo, cuyas consecuencias, en el plano teórico y práctico, no son a su vez menores que las que realizó ese mismo simbolismo en poesía con la aparición de Baudelaire</w:t>
      </w:r>
      <w:r w:rsidR="00A33EC6">
        <w:rPr>
          <w:bCs/>
          <w:sz w:val="22"/>
        </w:rPr>
        <w:t xml:space="preserve"> (Ki</w:t>
      </w:r>
      <w:r w:rsidR="00A33EC6">
        <w:rPr>
          <w:bCs/>
          <w:sz w:val="22"/>
          <w:lang w:val="sr-Latn-RS"/>
        </w:rPr>
        <w:t>š, 1979: 52)</w:t>
      </w:r>
      <w:r w:rsidR="00E77014" w:rsidRPr="00E77014">
        <w:rPr>
          <w:bCs/>
          <w:sz w:val="22"/>
        </w:rPr>
        <w:t>.</w:t>
      </w:r>
      <w:r w:rsidR="00A33EC6">
        <w:rPr>
          <w:rStyle w:val="Refdenotaalpie"/>
          <w:bCs/>
          <w:sz w:val="22"/>
        </w:rPr>
        <w:footnoteReference w:id="2"/>
      </w:r>
      <w:r w:rsidR="00E77014" w:rsidRPr="00E77014">
        <w:rPr>
          <w:bCs/>
          <w:sz w:val="22"/>
        </w:rPr>
        <w:t xml:space="preserve"> </w:t>
      </w:r>
    </w:p>
    <w:p w14:paraId="70747CAC" w14:textId="4C5A36BA" w:rsidR="00713E24" w:rsidRPr="00BE2D23" w:rsidRDefault="00713E24" w:rsidP="00A33EC6">
      <w:pPr>
        <w:spacing w:after="0" w:line="360" w:lineRule="auto"/>
        <w:rPr>
          <w:bCs/>
        </w:rPr>
      </w:pPr>
    </w:p>
    <w:p w14:paraId="28C67824" w14:textId="51A289EF" w:rsidR="005B43CF" w:rsidRDefault="00A33EC6" w:rsidP="00EA6897">
      <w:pPr>
        <w:spacing w:after="0" w:line="360" w:lineRule="auto"/>
        <w:rPr>
          <w:lang w:val="sr-Latn-RS"/>
        </w:rPr>
      </w:pPr>
      <w:r>
        <w:rPr>
          <w:lang w:val="hr-HR"/>
        </w:rPr>
        <w:tab/>
        <w:t xml:space="preserve">El procedimiento, que Ricardo Piglia llamaría </w:t>
      </w:r>
      <w:r>
        <w:t>“</w:t>
      </w:r>
      <w:r w:rsidR="007A0EEA" w:rsidRPr="000D74EC">
        <w:rPr>
          <w:lang w:val="hr-HR"/>
        </w:rPr>
        <w:t>ficción especulativa</w:t>
      </w:r>
      <w:r>
        <w:t>”, es sin duda emulado por Ki</w:t>
      </w:r>
      <w:r>
        <w:rPr>
          <w:lang w:val="sr-Latn-RS"/>
        </w:rPr>
        <w:t xml:space="preserve">š no solo en </w:t>
      </w:r>
      <w:r>
        <w:rPr>
          <w:i/>
          <w:iCs/>
          <w:lang w:val="sr-Latn-RS"/>
        </w:rPr>
        <w:t>Una tumba</w:t>
      </w:r>
      <w:r>
        <w:rPr>
          <w:lang w:val="sr-Latn-RS"/>
        </w:rPr>
        <w:t xml:space="preserve">, sino en </w:t>
      </w:r>
      <w:r>
        <w:rPr>
          <w:i/>
          <w:iCs/>
          <w:lang w:val="sr-Latn-RS"/>
        </w:rPr>
        <w:t xml:space="preserve">La enciclopedia. </w:t>
      </w:r>
      <w:r>
        <w:rPr>
          <w:lang w:val="sr-Latn-RS"/>
        </w:rPr>
        <w:t>Pero h</w:t>
      </w:r>
      <w:r>
        <w:t>ay otro procedimiento borgiano, no menos central, que Ki</w:t>
      </w:r>
      <w:r>
        <w:rPr>
          <w:lang w:val="sr-Latn-RS"/>
        </w:rPr>
        <w:t>š adap</w:t>
      </w:r>
      <w:r w:rsidR="00D75E56">
        <w:rPr>
          <w:lang w:val="sr-Latn-RS"/>
        </w:rPr>
        <w:t>t</w:t>
      </w:r>
      <w:r>
        <w:rPr>
          <w:lang w:val="sr-Latn-RS"/>
        </w:rPr>
        <w:t>a a sus propios fines</w:t>
      </w:r>
      <w:r>
        <w:t xml:space="preserve">: el uso de la documentación. </w:t>
      </w:r>
      <w:r w:rsidR="005B43CF">
        <w:t xml:space="preserve">Unas páginas </w:t>
      </w:r>
      <w:r w:rsidR="00E44066">
        <w:t>después</w:t>
      </w:r>
      <w:r w:rsidR="005B43CF">
        <w:t>, Ki</w:t>
      </w:r>
      <w:r w:rsidR="005B43CF">
        <w:rPr>
          <w:lang w:val="sr-Latn-RS"/>
        </w:rPr>
        <w:t xml:space="preserve">š declara que </w:t>
      </w:r>
      <w:r w:rsidR="005B43CF">
        <w:t>“</w:t>
      </w:r>
      <w:r w:rsidR="005B43CF">
        <w:rPr>
          <w:i/>
          <w:iCs/>
          <w:lang w:val="sr-Latn-RS"/>
        </w:rPr>
        <w:t xml:space="preserve">Una </w:t>
      </w:r>
      <w:r w:rsidR="00D75E56">
        <w:rPr>
          <w:i/>
          <w:iCs/>
          <w:lang w:val="sr-Latn-RS"/>
        </w:rPr>
        <w:t>t</w:t>
      </w:r>
      <w:r w:rsidR="005B43CF">
        <w:rPr>
          <w:i/>
          <w:iCs/>
          <w:lang w:val="sr-Latn-RS"/>
        </w:rPr>
        <w:t xml:space="preserve">umba para Boris Davidovich </w:t>
      </w:r>
      <w:r w:rsidR="005B43CF">
        <w:t xml:space="preserve">se sirve de ciertos procedimientos que inauguró Borges, y dichos procedimientos no son más que la maestría en el uso y trucaje del material documental” (55). Sin embargo, a diferencia de Borges, quien </w:t>
      </w:r>
      <w:r w:rsidR="00E44066">
        <w:t>habría usado</w:t>
      </w:r>
      <w:r w:rsidR="005B43CF">
        <w:t xml:space="preserve"> este procedimiento </w:t>
      </w:r>
      <w:r w:rsidR="00D75E56">
        <w:lastRenderedPageBreak/>
        <w:t>“sobre todo en un plano metafísico, donde el hombre está tomado en primer lugar como filosofema, en el sentido kafkiano de la palabra, el hombre en un mundo como un laberinto de significados metafísicos” (55), Ki</w:t>
      </w:r>
      <w:r w:rsidR="00D75E56">
        <w:rPr>
          <w:lang w:val="sr-Latn-RS"/>
        </w:rPr>
        <w:t xml:space="preserve">š recurre a la documentación para revelar la historicidad negada por la metafísica. </w:t>
      </w:r>
    </w:p>
    <w:p w14:paraId="479416ED" w14:textId="14EDCABA" w:rsidR="00EA563A" w:rsidRPr="008A50B7" w:rsidRDefault="009F07C6" w:rsidP="00EA563A">
      <w:pPr>
        <w:spacing w:after="0" w:line="360" w:lineRule="auto"/>
      </w:pPr>
      <w:r>
        <w:rPr>
          <w:lang w:val="sr-Latn-RS"/>
        </w:rPr>
        <w:tab/>
        <w:t xml:space="preserve">No obstante, </w:t>
      </w:r>
      <w:r w:rsidR="00E44066">
        <w:rPr>
          <w:lang w:val="sr-Latn-RS"/>
        </w:rPr>
        <w:t>el yugoslavo</w:t>
      </w:r>
      <w:r>
        <w:rPr>
          <w:lang w:val="sr-Latn-RS"/>
        </w:rPr>
        <w:t xml:space="preserve"> reconoce en Borges ciertos cuentos</w:t>
      </w:r>
      <w:r w:rsidR="00EA563A">
        <w:rPr>
          <w:lang w:val="sr-Latn-RS"/>
        </w:rPr>
        <w:t xml:space="preserve"> que, como veremos, </w:t>
      </w:r>
      <w:r w:rsidR="00EA563A">
        <w:t xml:space="preserve">están, hasta cierto punto, en línea con </w:t>
      </w:r>
      <w:r w:rsidR="00E44066">
        <w:t>su propia estética</w:t>
      </w:r>
      <w:r w:rsidR="00EA563A">
        <w:t xml:space="preserve">. Relatos </w:t>
      </w:r>
      <w:r>
        <w:rPr>
          <w:lang w:val="sr-Latn-RS"/>
        </w:rPr>
        <w:t xml:space="preserve">como </w:t>
      </w:r>
      <w:r>
        <w:t>“Emma Zunz”</w:t>
      </w:r>
      <w:r w:rsidR="00EA563A">
        <w:t xml:space="preserve"> </w:t>
      </w:r>
      <w:r>
        <w:t xml:space="preserve">y “La intrusa”, </w:t>
      </w:r>
      <w:r w:rsidR="00EA563A">
        <w:t>sostiene Ki</w:t>
      </w:r>
      <w:r w:rsidR="00EA563A">
        <w:rPr>
          <w:lang w:val="sr-Latn-RS"/>
        </w:rPr>
        <w:t xml:space="preserve">š, </w:t>
      </w:r>
      <w:bookmarkStart w:id="0" w:name="_Hlk149414480"/>
      <w:r w:rsidR="008A50B7">
        <w:t>“</w:t>
      </w:r>
      <w:r w:rsidR="00EA563A">
        <w:rPr>
          <w:lang w:val="sr-Latn-RS"/>
        </w:rPr>
        <w:t>se alejan del ser metafísico y trasladan el acento del alma al cuerpo</w:t>
      </w:r>
      <w:r w:rsidR="008A50B7">
        <w:t xml:space="preserve">”. </w:t>
      </w:r>
      <w:bookmarkEnd w:id="0"/>
      <w:r w:rsidR="008A50B7">
        <w:t>Son</w:t>
      </w:r>
      <w:r w:rsidR="008A50B7">
        <w:rPr>
          <w:rFonts w:cs="Times New Roman"/>
        </w:rPr>
        <w:t xml:space="preserve"> cuentos en los que Borges deja de servirse del documento y vuelve a la tradición clásica, pero en los que, aun así, “la historicidad no desempeña ningún papel” (55). </w:t>
      </w:r>
    </w:p>
    <w:p w14:paraId="7CC35A43" w14:textId="2CA88E47" w:rsidR="008A50B7" w:rsidRDefault="00EA563A" w:rsidP="008A50B7">
      <w:pPr>
        <w:spacing w:after="0" w:line="360" w:lineRule="auto"/>
      </w:pPr>
      <w:r>
        <w:rPr>
          <w:lang w:val="sr-Latn-RS"/>
        </w:rPr>
        <w:t xml:space="preserve"> </w:t>
      </w:r>
      <w:r w:rsidR="00EA6897">
        <w:tab/>
      </w:r>
      <w:r w:rsidR="008A50B7">
        <w:t>Ki</w:t>
      </w:r>
      <w:r w:rsidR="008A50B7">
        <w:rPr>
          <w:lang w:val="sr-Latn-RS"/>
        </w:rPr>
        <w:t>š conclu</w:t>
      </w:r>
      <w:r w:rsidR="008A50B7">
        <w:t xml:space="preserve">ye este análisis de la obra de Borges utilizando un concepto </w:t>
      </w:r>
      <w:r w:rsidR="00856C90">
        <w:t>b</w:t>
      </w:r>
      <w:r w:rsidR="008A50B7">
        <w:t>orgiano para interpretar la coexistencia de</w:t>
      </w:r>
      <w:r w:rsidR="00E44066">
        <w:t xml:space="preserve"> estas dos</w:t>
      </w:r>
      <w:r w:rsidR="008A50B7">
        <w:t xml:space="preserve"> estéticas y oponer</w:t>
      </w:r>
      <w:r w:rsidR="003177E7">
        <w:t>les</w:t>
      </w:r>
      <w:r w:rsidR="008A50B7">
        <w:t xml:space="preserve"> </w:t>
      </w:r>
      <w:r w:rsidR="00E44066">
        <w:t xml:space="preserve">a la vez </w:t>
      </w:r>
      <w:r w:rsidR="008A50B7">
        <w:t xml:space="preserve">la suya: </w:t>
      </w:r>
    </w:p>
    <w:p w14:paraId="7FC6BAA0" w14:textId="05F2982B" w:rsidR="00856C90" w:rsidRDefault="00856C90" w:rsidP="008A50B7">
      <w:pPr>
        <w:spacing w:after="0" w:line="360" w:lineRule="auto"/>
      </w:pPr>
      <w:r>
        <w:tab/>
      </w:r>
    </w:p>
    <w:p w14:paraId="408B65E0" w14:textId="0315FD27" w:rsidR="00D22595" w:rsidRPr="00856C90" w:rsidRDefault="007814AA" w:rsidP="00856C90">
      <w:pPr>
        <w:tabs>
          <w:tab w:val="left" w:pos="4904"/>
        </w:tabs>
        <w:spacing w:line="360" w:lineRule="auto"/>
        <w:ind w:left="1134"/>
        <w:rPr>
          <w:sz w:val="22"/>
          <w:lang w:val="hr-HR"/>
        </w:rPr>
      </w:pPr>
      <w:r>
        <w:rPr>
          <w:sz w:val="22"/>
        </w:rPr>
        <w:t>‘</w:t>
      </w:r>
      <w:r w:rsidR="000D74EC" w:rsidRPr="00856C90">
        <w:rPr>
          <w:sz w:val="22"/>
          <w:lang w:val="hr-HR"/>
        </w:rPr>
        <w:t xml:space="preserve">Un libro que no contenga su </w:t>
      </w:r>
      <w:r w:rsidR="00856C90" w:rsidRPr="00856C90">
        <w:rPr>
          <w:sz w:val="22"/>
          <w:lang w:val="hr-HR"/>
        </w:rPr>
        <w:t>contralibro</w:t>
      </w:r>
      <w:r>
        <w:rPr>
          <w:sz w:val="22"/>
          <w:lang w:val="hr-HR"/>
        </w:rPr>
        <w:t>'</w:t>
      </w:r>
      <w:r w:rsidR="000D74EC" w:rsidRPr="00856C90">
        <w:rPr>
          <w:sz w:val="22"/>
          <w:lang w:val="hr-HR"/>
        </w:rPr>
        <w:t>, dice Borge</w:t>
      </w:r>
      <w:r w:rsidR="00856C90" w:rsidRPr="00856C90">
        <w:rPr>
          <w:sz w:val="22"/>
          <w:lang w:val="hr-HR"/>
        </w:rPr>
        <w:t>s</w:t>
      </w:r>
      <w:r w:rsidR="000D74EC" w:rsidRPr="00856C90">
        <w:rPr>
          <w:sz w:val="22"/>
          <w:lang w:val="hr-HR"/>
        </w:rPr>
        <w:t xml:space="preserve"> en </w:t>
      </w:r>
      <w:r w:rsidR="00E44066">
        <w:rPr>
          <w:sz w:val="22"/>
          <w:lang w:val="hr-HR"/>
        </w:rPr>
        <w:t>algún</w:t>
      </w:r>
      <w:r w:rsidR="000D74EC" w:rsidRPr="00856C90">
        <w:rPr>
          <w:sz w:val="22"/>
          <w:lang w:val="hr-HR"/>
        </w:rPr>
        <w:t xml:space="preserve"> lugar, </w:t>
      </w:r>
      <w:r w:rsidR="00856C90" w:rsidRPr="00856C90">
        <w:rPr>
          <w:sz w:val="22"/>
          <w:lang w:val="hr-HR"/>
        </w:rPr>
        <w:t>'</w:t>
      </w:r>
      <w:r w:rsidR="008A50B7" w:rsidRPr="00856C90">
        <w:rPr>
          <w:sz w:val="22"/>
          <w:lang w:val="hr-HR"/>
        </w:rPr>
        <w:t>se considera</w:t>
      </w:r>
      <w:r w:rsidR="000D74EC" w:rsidRPr="00856C90">
        <w:rPr>
          <w:sz w:val="22"/>
          <w:lang w:val="hr-HR"/>
        </w:rPr>
        <w:t xml:space="preserve"> innecesario</w:t>
      </w:r>
      <w:r w:rsidR="00856C90" w:rsidRPr="00856C90">
        <w:rPr>
          <w:sz w:val="22"/>
          <w:lang w:val="hr-HR"/>
        </w:rPr>
        <w:t>'</w:t>
      </w:r>
      <w:r w:rsidR="000D74EC" w:rsidRPr="00856C90">
        <w:rPr>
          <w:sz w:val="22"/>
          <w:lang w:val="hr-HR"/>
        </w:rPr>
        <w:t xml:space="preserve">. En ese sentido, y solo en ese sentido, como una especie de </w:t>
      </w:r>
      <w:r w:rsidR="000D74EC" w:rsidRPr="00856C90">
        <w:rPr>
          <w:i/>
          <w:sz w:val="22"/>
          <w:lang w:val="hr-HR"/>
        </w:rPr>
        <w:t xml:space="preserve">eloge a </w:t>
      </w:r>
      <w:r w:rsidR="000D74EC" w:rsidRPr="00856C90">
        <w:rPr>
          <w:sz w:val="22"/>
          <w:lang w:val="hr-HR"/>
        </w:rPr>
        <w:t>J. L. Borges</w:t>
      </w:r>
      <w:r w:rsidR="000D74EC" w:rsidRPr="00856C90">
        <w:rPr>
          <w:i/>
          <w:sz w:val="22"/>
          <w:lang w:val="hr-HR"/>
        </w:rPr>
        <w:t xml:space="preserve">, Una tumba para </w:t>
      </w:r>
      <w:r w:rsidR="00856C90" w:rsidRPr="00856C90">
        <w:rPr>
          <w:i/>
          <w:sz w:val="22"/>
          <w:lang w:val="hr-HR"/>
        </w:rPr>
        <w:t>Boris</w:t>
      </w:r>
      <w:r w:rsidR="000D74EC" w:rsidRPr="00856C90">
        <w:rPr>
          <w:i/>
          <w:sz w:val="22"/>
          <w:lang w:val="hr-HR"/>
        </w:rPr>
        <w:t xml:space="preserve"> Davidovich</w:t>
      </w:r>
      <w:r w:rsidR="000D74EC" w:rsidRPr="00856C90">
        <w:rPr>
          <w:sz w:val="22"/>
          <w:lang w:val="hr-HR"/>
        </w:rPr>
        <w:t xml:space="preserve"> es un </w:t>
      </w:r>
      <w:r w:rsidR="00856C90" w:rsidRPr="00856C90">
        <w:rPr>
          <w:sz w:val="22"/>
          <w:lang w:val="hr-HR"/>
        </w:rPr>
        <w:t>contralibro</w:t>
      </w:r>
      <w:r w:rsidR="000D74EC" w:rsidRPr="00856C90">
        <w:rPr>
          <w:sz w:val="22"/>
          <w:lang w:val="hr-HR"/>
        </w:rPr>
        <w:t xml:space="preserve"> para Borges</w:t>
      </w:r>
      <w:r w:rsidR="00856C90" w:rsidRPr="00856C90">
        <w:rPr>
          <w:sz w:val="22"/>
          <w:lang w:val="hr-HR"/>
        </w:rPr>
        <w:t xml:space="preserve">. Es decir, no una parodia, sino un </w:t>
      </w:r>
      <w:r w:rsidR="00856C90" w:rsidRPr="00856C90">
        <w:rPr>
          <w:i/>
          <w:iCs/>
          <w:sz w:val="22"/>
          <w:lang w:val="hr-HR"/>
        </w:rPr>
        <w:t xml:space="preserve">contralibro </w:t>
      </w:r>
      <w:r w:rsidR="00856C90" w:rsidRPr="00856C90">
        <w:rPr>
          <w:sz w:val="22"/>
          <w:lang w:val="hr-HR"/>
        </w:rPr>
        <w:t>(55)</w:t>
      </w:r>
      <w:r w:rsidR="000D74EC" w:rsidRPr="00856C90">
        <w:rPr>
          <w:sz w:val="22"/>
          <w:lang w:val="hr-HR"/>
        </w:rPr>
        <w:t xml:space="preserve">. </w:t>
      </w:r>
    </w:p>
    <w:p w14:paraId="4B069881" w14:textId="77777777" w:rsidR="00856C90" w:rsidRDefault="00856C90" w:rsidP="00D22595">
      <w:pPr>
        <w:tabs>
          <w:tab w:val="left" w:pos="4904"/>
        </w:tabs>
        <w:ind w:left="360"/>
      </w:pPr>
    </w:p>
    <w:p w14:paraId="6A48A21D" w14:textId="191A716D" w:rsidR="00856C90" w:rsidRDefault="00856C90" w:rsidP="00D22595">
      <w:pPr>
        <w:tabs>
          <w:tab w:val="left" w:pos="4904"/>
        </w:tabs>
        <w:ind w:left="360"/>
      </w:pPr>
      <w:r>
        <w:t xml:space="preserve">La cita es de “Tlön, Uqbar, Orbis Tertius”. Allí dice el narrador: </w:t>
      </w:r>
    </w:p>
    <w:p w14:paraId="5293F55C" w14:textId="77777777" w:rsidR="00856C90" w:rsidRDefault="00856C90" w:rsidP="00D22595">
      <w:pPr>
        <w:tabs>
          <w:tab w:val="left" w:pos="4904"/>
        </w:tabs>
        <w:ind w:left="360"/>
      </w:pPr>
    </w:p>
    <w:p w14:paraId="5398AF34" w14:textId="5966F54A" w:rsidR="00CC0C0F" w:rsidRPr="00856C90" w:rsidRDefault="00CC0C0F" w:rsidP="00856C90">
      <w:pPr>
        <w:tabs>
          <w:tab w:val="left" w:pos="4904"/>
        </w:tabs>
        <w:spacing w:line="360" w:lineRule="auto"/>
        <w:ind w:left="1134"/>
        <w:rPr>
          <w:sz w:val="22"/>
          <w:lang w:val="hr-HR"/>
        </w:rPr>
      </w:pPr>
      <w:r w:rsidRPr="00856C90">
        <w:rPr>
          <w:sz w:val="22"/>
        </w:rPr>
        <w:t xml:space="preserve">También son distintos los libros. Los de ficción abarcan un solo argumento, con todas las permutaciones imaginables. Los de naturaleza filosófica invariablemente contienen la tesis y la antítesis, el riguroso pro y el contra de una doctrina. Un libro que no encierra su contralibro es considerado incompleto </w:t>
      </w:r>
      <w:r w:rsidR="00856C90" w:rsidRPr="00967240">
        <w:rPr>
          <w:sz w:val="22"/>
        </w:rPr>
        <w:t xml:space="preserve">(Borges, </w:t>
      </w:r>
      <w:r w:rsidR="00967240" w:rsidRPr="00967240">
        <w:rPr>
          <w:sz w:val="22"/>
        </w:rPr>
        <w:t>1992: II 27).</w:t>
      </w:r>
    </w:p>
    <w:p w14:paraId="5551BF7A" w14:textId="77777777" w:rsidR="00E91937" w:rsidRDefault="00E91937" w:rsidP="00E91937">
      <w:pPr>
        <w:tabs>
          <w:tab w:val="left" w:pos="4904"/>
        </w:tabs>
        <w:rPr>
          <w:lang w:val="hr-HR"/>
        </w:rPr>
      </w:pPr>
    </w:p>
    <w:p w14:paraId="258258A4" w14:textId="7D9D747E" w:rsidR="00856C90" w:rsidRPr="00856C90" w:rsidRDefault="00856C90" w:rsidP="00346ACC">
      <w:pPr>
        <w:spacing w:after="0" w:line="360" w:lineRule="auto"/>
      </w:pPr>
      <w:r>
        <w:rPr>
          <w:lang w:val="hr-HR"/>
        </w:rPr>
        <w:tab/>
      </w:r>
      <w:r w:rsidR="00D36B23">
        <w:t xml:space="preserve">Según el texto borgiano, </w:t>
      </w:r>
      <w:r>
        <w:t>“</w:t>
      </w:r>
      <w:r w:rsidR="00D36B23">
        <w:t>c</w:t>
      </w:r>
      <w:r>
        <w:rPr>
          <w:lang w:val="hr-HR"/>
        </w:rPr>
        <w:t>ontralibro</w:t>
      </w:r>
      <w:r>
        <w:t>” es</w:t>
      </w:r>
      <w:r>
        <w:rPr>
          <w:lang w:val="hr-HR"/>
        </w:rPr>
        <w:t xml:space="preserve"> sinónimo de </w:t>
      </w:r>
      <w:r>
        <w:t>“antítesis”</w:t>
      </w:r>
      <w:r w:rsidR="001879AA">
        <w:t xml:space="preserve">. </w:t>
      </w:r>
      <w:r w:rsidR="00F75024">
        <w:t>En</w:t>
      </w:r>
      <w:r w:rsidR="007814AA">
        <w:t xml:space="preserve"> </w:t>
      </w:r>
      <w:r w:rsidR="00F75024">
        <w:t>la</w:t>
      </w:r>
      <w:r w:rsidR="007814AA">
        <w:t xml:space="preserve"> t</w:t>
      </w:r>
      <w:r w:rsidR="00F75024">
        <w:t>raducción serbia aparecen nuevos matices de significado</w:t>
      </w:r>
      <w:r w:rsidR="00D36B23">
        <w:t>:</w:t>
      </w:r>
      <w:r w:rsidR="00F75024">
        <w:t xml:space="preserve"> </w:t>
      </w:r>
      <w:r w:rsidR="007814AA">
        <w:t>“</w:t>
      </w:r>
      <w:r w:rsidR="00D36B23">
        <w:rPr>
          <w:i/>
          <w:iCs/>
        </w:rPr>
        <w:t>p</w:t>
      </w:r>
      <w:r w:rsidR="00F75024">
        <w:rPr>
          <w:i/>
          <w:iCs/>
        </w:rPr>
        <w:t>rotivknjiga</w:t>
      </w:r>
      <w:r w:rsidR="007814AA" w:rsidRPr="007814AA">
        <w:t>”</w:t>
      </w:r>
      <w:r w:rsidR="007814AA">
        <w:rPr>
          <w:i/>
          <w:iCs/>
        </w:rPr>
        <w:t xml:space="preserve"> </w:t>
      </w:r>
      <w:r w:rsidR="00F75024">
        <w:t>(“contralibro”) se forma como “</w:t>
      </w:r>
      <w:r w:rsidR="00F75024" w:rsidRPr="00F75024">
        <w:rPr>
          <w:i/>
          <w:iCs/>
        </w:rPr>
        <w:t>protivotrov</w:t>
      </w:r>
      <w:r w:rsidR="00F75024">
        <w:t xml:space="preserve">”, “contraveneno”. </w:t>
      </w:r>
      <w:r w:rsidR="00F75024" w:rsidRPr="00F75024">
        <w:t>En</w:t>
      </w:r>
      <w:r w:rsidR="00F75024">
        <w:t xml:space="preserve"> el juego de las similitudes y diferencias, bajo las primeras, se esconde otra poética, un “antídoto” contra la borgiana. Busqu</w:t>
      </w:r>
      <w:r w:rsidR="00D36B23">
        <w:t>e</w:t>
      </w:r>
      <w:r w:rsidR="00F75024">
        <w:t>mo</w:t>
      </w:r>
      <w:r w:rsidR="00D36B23">
        <w:t>s</w:t>
      </w:r>
      <w:r w:rsidR="00F75024">
        <w:t xml:space="preserve"> </w:t>
      </w:r>
      <w:r w:rsidR="00D36B23">
        <w:t xml:space="preserve">entonces, </w:t>
      </w:r>
      <w:r w:rsidR="00F75024">
        <w:t>en “La enciclopedia de los muertos”</w:t>
      </w:r>
      <w:r w:rsidR="00D36B23">
        <w:t>,</w:t>
      </w:r>
      <w:r w:rsidR="007814AA">
        <w:rPr>
          <w:rStyle w:val="Refdenotaalpie"/>
        </w:rPr>
        <w:footnoteReference w:id="3"/>
      </w:r>
      <w:r w:rsidR="00D36B23">
        <w:t xml:space="preserve"> la antienciclopedia de Babel</w:t>
      </w:r>
      <w:r w:rsidR="00F75024">
        <w:t xml:space="preserve">. </w:t>
      </w:r>
    </w:p>
    <w:p w14:paraId="50E8103B" w14:textId="310A7D04" w:rsidR="00E91937" w:rsidRPr="00D36B23" w:rsidRDefault="004209E0" w:rsidP="00346ACC">
      <w:pPr>
        <w:spacing w:after="0" w:line="360" w:lineRule="auto"/>
      </w:pPr>
      <w:r>
        <w:lastRenderedPageBreak/>
        <w:tab/>
      </w:r>
      <w:r w:rsidR="00E02F06">
        <w:t>C</w:t>
      </w:r>
      <w:r>
        <w:t xml:space="preserve">omencemos con los parecidos. </w:t>
      </w:r>
    </w:p>
    <w:p w14:paraId="0E5C2B1A" w14:textId="508109D8" w:rsidR="00346ACC" w:rsidRDefault="00346ACC" w:rsidP="00346ACC">
      <w:pPr>
        <w:spacing w:after="0" w:line="360" w:lineRule="auto"/>
        <w:ind w:firstLine="708"/>
        <w:rPr>
          <w:bCs/>
          <w:lang w:val="hr-HR"/>
        </w:rPr>
      </w:pPr>
      <w:r>
        <w:rPr>
          <w:bCs/>
          <w:lang w:val="hr-HR"/>
        </w:rPr>
        <w:t xml:space="preserve">En el terreno general de los </w:t>
      </w:r>
      <w:r>
        <w:rPr>
          <w:bCs/>
        </w:rPr>
        <w:t xml:space="preserve">“procedimientos deductivos”, </w:t>
      </w:r>
      <w:r w:rsidR="004209E0">
        <w:rPr>
          <w:bCs/>
          <w:lang w:val="hr-HR"/>
        </w:rPr>
        <w:t>Pau Freixa menciona algun</w:t>
      </w:r>
      <w:r>
        <w:rPr>
          <w:bCs/>
          <w:lang w:val="hr-HR"/>
        </w:rPr>
        <w:t>a</w:t>
      </w:r>
      <w:r w:rsidR="004209E0">
        <w:rPr>
          <w:bCs/>
          <w:lang w:val="hr-HR"/>
        </w:rPr>
        <w:t xml:space="preserve">s </w:t>
      </w:r>
      <w:r>
        <w:rPr>
          <w:bCs/>
          <w:lang w:val="hr-HR"/>
        </w:rPr>
        <w:t xml:space="preserve">similitudes </w:t>
      </w:r>
      <w:r w:rsidR="004209E0">
        <w:rPr>
          <w:bCs/>
          <w:lang w:val="hr-HR"/>
        </w:rPr>
        <w:t>generales</w:t>
      </w:r>
      <w:r>
        <w:rPr>
          <w:bCs/>
          <w:lang w:val="hr-HR"/>
        </w:rPr>
        <w:t xml:space="preserve">, tales como el uso de las potencialidades estéticas del mito y su desenmascaramiento (si bien </w:t>
      </w:r>
      <w:r w:rsidR="007814AA">
        <w:rPr>
          <w:bCs/>
        </w:rPr>
        <w:t>“en Ki</w:t>
      </w:r>
      <w:r w:rsidR="007814AA">
        <w:rPr>
          <w:bCs/>
          <w:lang w:val="sr-Latn-RS"/>
        </w:rPr>
        <w:t xml:space="preserve">š </w:t>
      </w:r>
      <w:r w:rsidR="007814AA">
        <w:rPr>
          <w:bCs/>
        </w:rPr>
        <w:t>el mito nunca es lúdico, como en Borges”, Freixa Terradas, 2016: 269)</w:t>
      </w:r>
      <w:r>
        <w:rPr>
          <w:bCs/>
          <w:lang w:val="hr-HR"/>
        </w:rPr>
        <w:t xml:space="preserve">, porque </w:t>
      </w:r>
    </w:p>
    <w:p w14:paraId="4EC18073" w14:textId="77777777" w:rsidR="00346ACC" w:rsidRDefault="00346ACC" w:rsidP="00346ACC">
      <w:pPr>
        <w:spacing w:after="0" w:line="360" w:lineRule="auto"/>
        <w:ind w:firstLine="708"/>
        <w:rPr>
          <w:bCs/>
          <w:lang w:val="hr-HR"/>
        </w:rPr>
      </w:pPr>
    </w:p>
    <w:p w14:paraId="39937EF5" w14:textId="00EE3DB2" w:rsidR="00346ACC" w:rsidRDefault="00346ACC" w:rsidP="0047295D">
      <w:pPr>
        <w:spacing w:after="0" w:line="360" w:lineRule="auto"/>
        <w:ind w:left="1134"/>
        <w:rPr>
          <w:sz w:val="22"/>
        </w:rPr>
      </w:pPr>
      <w:r>
        <w:rPr>
          <w:sz w:val="22"/>
        </w:rPr>
        <w:t>l</w:t>
      </w:r>
      <w:r w:rsidRPr="00346ACC">
        <w:rPr>
          <w:sz w:val="22"/>
        </w:rPr>
        <w:t>os dos escritores buscan desmitificar la Historia, la cultura y la religión partiendo del mismo mito que tan a menudo las sustenta (o quizás sería mejor decir: el episodio real pasado por el filtro de la mitificación) y a la vez demuestran la imposibilidad de llegar a un consenso de verdad, ya que ésta, si es que de alguna forma existe –cosa que también cuestionan– resulta inasible al hombre</w:t>
      </w:r>
      <w:r>
        <w:rPr>
          <w:sz w:val="22"/>
        </w:rPr>
        <w:t xml:space="preserve"> (2016: 268).</w:t>
      </w:r>
    </w:p>
    <w:p w14:paraId="2D2967F6" w14:textId="470303C3" w:rsidR="00D75E56" w:rsidRDefault="00D75E56" w:rsidP="00346ACC">
      <w:pPr>
        <w:spacing w:after="0" w:line="360" w:lineRule="auto"/>
        <w:ind w:left="1134" w:firstLine="284"/>
        <w:rPr>
          <w:bCs/>
        </w:rPr>
      </w:pPr>
    </w:p>
    <w:p w14:paraId="1EC353BF" w14:textId="6A531252" w:rsidR="00845DD6" w:rsidRPr="002F257D" w:rsidRDefault="007814AA" w:rsidP="002F257D">
      <w:pPr>
        <w:spacing w:after="0" w:line="360" w:lineRule="auto"/>
        <w:ind w:firstLine="708"/>
        <w:rPr>
          <w:bCs/>
        </w:rPr>
      </w:pPr>
      <w:r>
        <w:rPr>
          <w:bCs/>
        </w:rPr>
        <w:t>En cuanto a “La enciclopedia de los muertos” en particular,</w:t>
      </w:r>
      <w:r w:rsidR="003177E7">
        <w:rPr>
          <w:bCs/>
        </w:rPr>
        <w:t xml:space="preserve"> nos remite principalmente a tres cuentos de Borges: “La Biblioteca de Babel”, “El Aleph” y “Tlön, Uqbar, </w:t>
      </w:r>
      <w:r w:rsidR="003177E7">
        <w:rPr>
          <w:bCs/>
          <w:i/>
          <w:iCs/>
        </w:rPr>
        <w:t>Orbis Tertius</w:t>
      </w:r>
      <w:r w:rsidR="003177E7">
        <w:rPr>
          <w:bCs/>
        </w:rPr>
        <w:t xml:space="preserve">”. </w:t>
      </w:r>
      <w:r w:rsidR="00C01943">
        <w:rPr>
          <w:bCs/>
        </w:rPr>
        <w:t>Si en “La Biblioteca de Babel”, la hermenéutica tiene visos oníricos, pues están “</w:t>
      </w:r>
      <w:r w:rsidR="00C01943">
        <w:t>l</w:t>
      </w:r>
      <w:r w:rsidR="00C01943" w:rsidRPr="007C4927">
        <w:t xml:space="preserve">os que repudian la costumbre de buscar sentido en los libros y la equiparan a la de buscarlo en los sueños o en las líneas </w:t>
      </w:r>
      <w:r w:rsidR="00C01943" w:rsidRPr="00845DD6">
        <w:rPr>
          <w:bCs/>
        </w:rPr>
        <w:t>caóticas</w:t>
      </w:r>
      <w:r w:rsidR="00C01943" w:rsidRPr="007C4927">
        <w:t xml:space="preserve"> </w:t>
      </w:r>
      <w:r w:rsidR="00C01943" w:rsidRPr="00F27C29">
        <w:t>de la mano</w:t>
      </w:r>
      <w:r w:rsidR="002F257D">
        <w:t xml:space="preserve">” </w:t>
      </w:r>
      <w:r w:rsidR="00C01943" w:rsidRPr="00F27C29">
        <w:t>(Borges, 1992: II 57), en Ki</w:t>
      </w:r>
      <w:r w:rsidR="00C01943" w:rsidRPr="00F27C29">
        <w:rPr>
          <w:lang w:val="sr-Latn-RS"/>
        </w:rPr>
        <w:t xml:space="preserve">š todo el ambiente es </w:t>
      </w:r>
      <w:r w:rsidR="00C01943">
        <w:rPr>
          <w:lang w:val="sr-Latn-RS"/>
        </w:rPr>
        <w:t>onírico</w:t>
      </w:r>
      <w:r w:rsidR="00C01943" w:rsidRPr="00F27C29">
        <w:t>: la lamparita y la</w:t>
      </w:r>
      <w:r w:rsidR="00C01943">
        <w:t xml:space="preserve"> cadena, la situación nocturna inverosímil, todo </w:t>
      </w:r>
      <w:r w:rsidR="00C01943" w:rsidRPr="00F27C29">
        <w:t>transcurre “como en un sueño” (1997: 52),</w:t>
      </w:r>
      <w:r w:rsidR="00C01943" w:rsidRPr="00F27C29">
        <w:rPr>
          <w:rStyle w:val="Refdenotaalpie"/>
        </w:rPr>
        <w:footnoteReference w:id="4"/>
      </w:r>
      <w:r w:rsidR="00C01943" w:rsidRPr="00F27C29">
        <w:t xml:space="preserve"> todo predice el final que efectivamente c</w:t>
      </w:r>
      <w:r w:rsidR="00C01943">
        <w:t>onfirma el relato como un sueño. Y c</w:t>
      </w:r>
      <w:r w:rsidR="002001D0">
        <w:rPr>
          <w:bCs/>
        </w:rPr>
        <w:t xml:space="preserve">omo en la </w:t>
      </w:r>
      <w:r w:rsidR="002001D0" w:rsidRPr="00F27C29">
        <w:rPr>
          <w:bCs/>
        </w:rPr>
        <w:t xml:space="preserve">biblioteca borgiana, </w:t>
      </w:r>
      <w:r w:rsidR="00C01943">
        <w:rPr>
          <w:bCs/>
        </w:rPr>
        <w:t xml:space="preserve">en la de Kiš </w:t>
      </w:r>
      <w:r w:rsidR="002001D0" w:rsidRPr="00F27C29">
        <w:rPr>
          <w:bCs/>
        </w:rPr>
        <w:t>“e</w:t>
      </w:r>
      <w:r w:rsidR="00E943A9" w:rsidRPr="00F27C29">
        <w:rPr>
          <w:bCs/>
        </w:rPr>
        <w:t>stá escrito todo. Todo” (</w:t>
      </w:r>
      <w:r w:rsidR="00845DD6" w:rsidRPr="00F27C29">
        <w:rPr>
          <w:bCs/>
        </w:rPr>
        <w:t xml:space="preserve">1997: </w:t>
      </w:r>
      <w:r w:rsidR="00E34E84" w:rsidRPr="00F27C29">
        <w:rPr>
          <w:bCs/>
        </w:rPr>
        <w:t>5</w:t>
      </w:r>
      <w:r w:rsidR="00DF5CE0" w:rsidRPr="00F27C29">
        <w:rPr>
          <w:bCs/>
        </w:rPr>
        <w:t>4</w:t>
      </w:r>
      <w:r w:rsidR="00E943A9" w:rsidRPr="00F27C29">
        <w:rPr>
          <w:bCs/>
        </w:rPr>
        <w:t>)</w:t>
      </w:r>
      <w:r w:rsidR="00845DD6" w:rsidRPr="00F27C29">
        <w:rPr>
          <w:bCs/>
        </w:rPr>
        <w:t>.</w:t>
      </w:r>
      <w:r w:rsidR="00675593" w:rsidRPr="00F27C29">
        <w:rPr>
          <w:rStyle w:val="Refdenotaalpie"/>
          <w:bCs/>
        </w:rPr>
        <w:footnoteReference w:id="5"/>
      </w:r>
      <w:r w:rsidR="00E34E84">
        <w:rPr>
          <w:bCs/>
        </w:rPr>
        <w:t xml:space="preserve"> </w:t>
      </w:r>
      <w:r w:rsidR="00C01943">
        <w:rPr>
          <w:bCs/>
        </w:rPr>
        <w:t xml:space="preserve">Sin embargo, </w:t>
      </w:r>
      <w:r w:rsidR="002F257D">
        <w:rPr>
          <w:bCs/>
        </w:rPr>
        <w:t>c</w:t>
      </w:r>
      <w:r w:rsidR="00C01943">
        <w:rPr>
          <w:bCs/>
        </w:rPr>
        <w:t xml:space="preserve">omo </w:t>
      </w:r>
      <w:r w:rsidR="00DF5CE0">
        <w:rPr>
          <w:bCs/>
        </w:rPr>
        <w:t>“Nada ha sido olvidado”</w:t>
      </w:r>
      <w:r w:rsidR="00C01943">
        <w:rPr>
          <w:bCs/>
        </w:rPr>
        <w:t xml:space="preserve"> </w:t>
      </w:r>
      <w:r w:rsidR="00C01943">
        <w:rPr>
          <w:rFonts w:cs="Times New Roman"/>
          <w:bCs/>
        </w:rPr>
        <w:t>[y]</w:t>
      </w:r>
      <w:r w:rsidR="00DF5CE0">
        <w:rPr>
          <w:bCs/>
        </w:rPr>
        <w:t xml:space="preserve"> “</w:t>
      </w:r>
      <w:r w:rsidR="00C01943">
        <w:rPr>
          <w:bCs/>
        </w:rPr>
        <w:t>s</w:t>
      </w:r>
      <w:r w:rsidR="003472AC">
        <w:rPr>
          <w:bCs/>
        </w:rPr>
        <w:t>e ha anotado cada período de su vida, cada vivencia, cada pez capturado por la caña, cada página leída, el nombre de cada planta recogida por el niño” (57)</w:t>
      </w:r>
      <w:r w:rsidR="00C01943">
        <w:rPr>
          <w:bCs/>
        </w:rPr>
        <w:t>,</w:t>
      </w:r>
      <w:r w:rsidR="003472AC">
        <w:rPr>
          <w:rStyle w:val="Refdenotaalpie"/>
          <w:bCs/>
        </w:rPr>
        <w:footnoteReference w:id="6"/>
      </w:r>
      <w:r w:rsidR="00C01943">
        <w:rPr>
          <w:bCs/>
        </w:rPr>
        <w:t xml:space="preserve"> la abundancia de detalle produce en la lectura </w:t>
      </w:r>
      <w:r w:rsidR="00845DD6">
        <w:rPr>
          <w:bCs/>
        </w:rPr>
        <w:t xml:space="preserve">un efecto </w:t>
      </w:r>
      <w:r w:rsidR="00845DD6" w:rsidRPr="002F257D">
        <w:rPr>
          <w:bCs/>
        </w:rPr>
        <w:t>Aleph</w:t>
      </w:r>
      <w:r w:rsidR="00845DD6">
        <w:rPr>
          <w:bCs/>
        </w:rPr>
        <w:t>: “</w:t>
      </w:r>
      <w:r w:rsidR="003472AC">
        <w:rPr>
          <w:bCs/>
        </w:rPr>
        <w:t>Entonces yo misma lo vi, como si sucediera ante mis ojos” (55).</w:t>
      </w:r>
      <w:r w:rsidR="003472AC">
        <w:rPr>
          <w:rStyle w:val="Refdenotaalpie"/>
          <w:bCs/>
        </w:rPr>
        <w:footnoteReference w:id="7"/>
      </w:r>
      <w:r w:rsidR="00845DD6">
        <w:rPr>
          <w:bCs/>
        </w:rPr>
        <w:t xml:space="preserve"> </w:t>
      </w:r>
      <w:r w:rsidR="002F257D">
        <w:rPr>
          <w:bCs/>
        </w:rPr>
        <w:t>El Aleph, aquel punto en el espacio que contiene todos los puntos, como la biblioteca contiene todos los libros, es en Ki</w:t>
      </w:r>
      <w:r w:rsidR="002F257D">
        <w:rPr>
          <w:bCs/>
          <w:lang w:val="sr-Latn-RS"/>
        </w:rPr>
        <w:t xml:space="preserve">š un contraaleph, pues con </w:t>
      </w:r>
      <w:r w:rsidR="002F257D">
        <w:rPr>
          <w:bCs/>
        </w:rPr>
        <w:t>él Kiš</w:t>
      </w:r>
      <w:r w:rsidR="002F257D" w:rsidRPr="002F257D">
        <w:rPr>
          <w:bCs/>
        </w:rPr>
        <w:t xml:space="preserve"> opone la vida al agotamiento borgiano del sentido.</w:t>
      </w:r>
      <w:r w:rsidR="002F257D">
        <w:rPr>
          <w:bCs/>
        </w:rPr>
        <w:t xml:space="preserve"> </w:t>
      </w:r>
      <w:r w:rsidR="00845DD6">
        <w:t xml:space="preserve">En </w:t>
      </w:r>
      <w:r w:rsidR="00845DD6">
        <w:lastRenderedPageBreak/>
        <w:t>cuanto a las enciclopedias</w:t>
      </w:r>
      <w:r w:rsidR="00C01943">
        <w:t xml:space="preserve">, ambas, </w:t>
      </w:r>
      <w:r w:rsidR="00845DD6">
        <w:t xml:space="preserve">Tlön y </w:t>
      </w:r>
      <w:r w:rsidR="00C01943">
        <w:t xml:space="preserve">la </w:t>
      </w:r>
      <w:r w:rsidR="00845DD6">
        <w:t>de los Muertos, están hechas por una secta secreta</w:t>
      </w:r>
      <w:r w:rsidR="002F257D">
        <w:t xml:space="preserve">, que como veremos, también tienen diferentes concepciones de la vida. </w:t>
      </w:r>
    </w:p>
    <w:p w14:paraId="45D42377" w14:textId="7B33F99F" w:rsidR="00EE15B5" w:rsidRDefault="002F257D" w:rsidP="00EE15B5">
      <w:pPr>
        <w:spacing w:after="0" w:line="360" w:lineRule="auto"/>
        <w:ind w:firstLine="708"/>
      </w:pPr>
      <w:r>
        <w:t xml:space="preserve">Otro procedimiento común a </w:t>
      </w:r>
      <w:r w:rsidR="00FE03AB">
        <w:t xml:space="preserve">ambos autores </w:t>
      </w:r>
      <w:r>
        <w:t xml:space="preserve">es </w:t>
      </w:r>
      <w:r w:rsidR="00FE03AB">
        <w:t xml:space="preserve">la paradoja: </w:t>
      </w:r>
      <w:r>
        <w:t xml:space="preserve">con ella, </w:t>
      </w:r>
      <w:r w:rsidR="00FE03AB">
        <w:t>Borges señala los límites del pensamiento, Ki</w:t>
      </w:r>
      <w:r w:rsidR="00FE03AB">
        <w:rPr>
          <w:lang w:val="sr-Latn-RS"/>
        </w:rPr>
        <w:t>š</w:t>
      </w:r>
      <w:r w:rsidR="00FE03AB">
        <w:t xml:space="preserve"> señala la naturaleza de lo singular: todo ocurre siempre y nunca. Un ejemplo concreto de paradoja en ambas obras es la del mapa</w:t>
      </w:r>
      <w:r>
        <w:t xml:space="preserve"> que coincide con </w:t>
      </w:r>
      <w:r w:rsidR="00FE03AB">
        <w:t xml:space="preserve">el territorio. </w:t>
      </w:r>
      <w:r w:rsidR="00EE15B5" w:rsidRPr="00FE03AB">
        <w:t>Ki</w:t>
      </w:r>
      <w:r w:rsidR="00EE15B5" w:rsidRPr="00FE03AB">
        <w:rPr>
          <w:lang w:val="sr-Latn-RS"/>
        </w:rPr>
        <w:t xml:space="preserve">š </w:t>
      </w:r>
      <w:r w:rsidR="00EE15B5" w:rsidRPr="00FE03AB">
        <w:t xml:space="preserve">recurre al motivo borgiano del mapa y el territorio, </w:t>
      </w:r>
      <w:r w:rsidR="00FE03AB">
        <w:t xml:space="preserve">pero </w:t>
      </w:r>
      <w:r w:rsidR="00EE15B5" w:rsidRPr="00FE03AB">
        <w:t>con una diferencia</w:t>
      </w:r>
      <w:r>
        <w:t>: e</w:t>
      </w:r>
      <w:r w:rsidR="00EE15B5">
        <w:t>n Borges</w:t>
      </w:r>
      <w:r>
        <w:t>,</w:t>
      </w:r>
      <w:r w:rsidR="00EE15B5">
        <w:t xml:space="preserve"> la enciclopedia termina reemplazando la realidad, en Ki</w:t>
      </w:r>
      <w:r w:rsidR="00EE15B5">
        <w:rPr>
          <w:lang w:val="sr-Latn-RS"/>
        </w:rPr>
        <w:t>š coincide</w:t>
      </w:r>
      <w:r w:rsidR="00EE15B5">
        <w:t xml:space="preserve"> con la vida</w:t>
      </w:r>
      <w:r w:rsidR="00063D60">
        <w:t>.</w:t>
      </w:r>
      <w:r w:rsidR="00EE15B5">
        <w:t xml:space="preserve"> </w:t>
      </w:r>
    </w:p>
    <w:p w14:paraId="483F48A1" w14:textId="5B706813" w:rsidR="006B642E" w:rsidRDefault="0047295D" w:rsidP="0047295D">
      <w:pPr>
        <w:spacing w:line="360" w:lineRule="auto"/>
        <w:ind w:firstLine="708"/>
      </w:pPr>
      <w:r>
        <w:t>Por último, la o</w:t>
      </w:r>
      <w:r w:rsidR="006B642E">
        <w:t>peración borgiana del resumen de un texto inexistente</w:t>
      </w:r>
      <w:r>
        <w:t xml:space="preserve"> es tomada por Ki</w:t>
      </w:r>
      <w:r>
        <w:rPr>
          <w:lang w:val="sr-Latn-RS"/>
        </w:rPr>
        <w:t xml:space="preserve">š para subir la apuesta, </w:t>
      </w:r>
      <w:r w:rsidR="002A4C94">
        <w:t>pues</w:t>
      </w:r>
      <w:r>
        <w:t xml:space="preserve"> el relato es el </w:t>
      </w:r>
      <w:r w:rsidR="002A4C94">
        <w:t>resumen de</w:t>
      </w:r>
      <w:r>
        <w:t xml:space="preserve"> un</w:t>
      </w:r>
      <w:r w:rsidR="002A4C94">
        <w:t xml:space="preserve"> resumen: </w:t>
      </w:r>
    </w:p>
    <w:p w14:paraId="011B1270" w14:textId="77777777" w:rsidR="0047295D" w:rsidRDefault="0047295D" w:rsidP="0047295D">
      <w:pPr>
        <w:spacing w:after="0"/>
        <w:ind w:firstLine="708"/>
      </w:pPr>
    </w:p>
    <w:p w14:paraId="1E1166FA" w14:textId="0F90C28D" w:rsidR="002A4C94" w:rsidRPr="00580563" w:rsidRDefault="00754519" w:rsidP="00580563">
      <w:pPr>
        <w:spacing w:line="360" w:lineRule="auto"/>
        <w:ind w:left="1134" w:firstLine="284"/>
        <w:rPr>
          <w:sz w:val="22"/>
        </w:rPr>
      </w:pPr>
      <w:r w:rsidRPr="00580563">
        <w:rPr>
          <w:sz w:val="22"/>
        </w:rPr>
        <w:t xml:space="preserve">Mi padre pasó, con breves interrupciones, unos cincuenta años en Belgrado, y esa </w:t>
      </w:r>
      <w:r w:rsidR="00580563" w:rsidRPr="00580563">
        <w:rPr>
          <w:sz w:val="22"/>
        </w:rPr>
        <w:t xml:space="preserve">suma de vivencias, esa cuenta de unos dieciocho mil días y noches (cuatrocientos treinta y ocho mil horas) se brinda aquí, en el </w:t>
      </w:r>
      <w:r w:rsidR="00580563" w:rsidRPr="00580563">
        <w:rPr>
          <w:i/>
          <w:iCs/>
          <w:sz w:val="22"/>
        </w:rPr>
        <w:t>Libro de los muertos</w:t>
      </w:r>
      <w:r w:rsidR="00580563" w:rsidRPr="00580563">
        <w:rPr>
          <w:sz w:val="22"/>
        </w:rPr>
        <w:t>, ¡en el espacio de unas cinco-seis páginas!</w:t>
      </w:r>
      <w:r w:rsidR="0047295D" w:rsidRPr="00580563">
        <w:rPr>
          <w:sz w:val="22"/>
        </w:rPr>
        <w:t xml:space="preserve"> (</w:t>
      </w:r>
      <w:r w:rsidR="0047295D" w:rsidRPr="00580563">
        <w:rPr>
          <w:sz w:val="22"/>
          <w:lang w:val="sr-Latn-RS"/>
        </w:rPr>
        <w:t>1997:</w:t>
      </w:r>
      <w:r w:rsidRPr="00580563">
        <w:rPr>
          <w:sz w:val="22"/>
          <w:lang w:val="sr-Latn-RS"/>
        </w:rPr>
        <w:t xml:space="preserve"> 59</w:t>
      </w:r>
      <w:r w:rsidR="0047295D" w:rsidRPr="00580563">
        <w:rPr>
          <w:sz w:val="22"/>
          <w:lang w:val="sr-Latn-RS"/>
        </w:rPr>
        <w:t>)</w:t>
      </w:r>
      <w:r w:rsidR="00580563">
        <w:rPr>
          <w:sz w:val="22"/>
          <w:lang w:val="sr-Latn-RS"/>
        </w:rPr>
        <w:t>.</w:t>
      </w:r>
      <w:r w:rsidR="00580563">
        <w:rPr>
          <w:rStyle w:val="Refdenotaalpie"/>
          <w:sz w:val="22"/>
          <w:lang w:val="sr-Latn-RS"/>
        </w:rPr>
        <w:footnoteReference w:id="8"/>
      </w:r>
    </w:p>
    <w:p w14:paraId="40C35A44" w14:textId="6A67B29B" w:rsidR="0047295D" w:rsidRPr="00580563" w:rsidRDefault="0047295D" w:rsidP="0047295D">
      <w:pPr>
        <w:spacing w:line="360" w:lineRule="auto"/>
        <w:ind w:left="1134" w:firstLine="284"/>
        <w:rPr>
          <w:sz w:val="22"/>
          <w:lang w:val="sr-Latn-RS"/>
        </w:rPr>
      </w:pPr>
      <w:r w:rsidRPr="00580563">
        <w:rPr>
          <w:rFonts w:cs="Times New Roman"/>
          <w:sz w:val="22"/>
          <w:lang w:val="sr-Latn-RS"/>
        </w:rPr>
        <w:t>[</w:t>
      </w:r>
      <w:r w:rsidRPr="00580563">
        <w:rPr>
          <w:sz w:val="22"/>
          <w:lang w:val="sr-Latn-RS"/>
        </w:rPr>
        <w:t>...</w:t>
      </w:r>
      <w:r w:rsidRPr="00580563">
        <w:rPr>
          <w:rFonts w:cs="Times New Roman"/>
          <w:sz w:val="22"/>
          <w:lang w:val="sr-Latn-RS"/>
        </w:rPr>
        <w:t>]</w:t>
      </w:r>
    </w:p>
    <w:p w14:paraId="1CA836E0" w14:textId="2BA422D0" w:rsidR="002A4C94" w:rsidRDefault="0047295D" w:rsidP="00EF5E07">
      <w:pPr>
        <w:spacing w:after="0" w:line="360" w:lineRule="auto"/>
        <w:ind w:left="1134"/>
        <w:rPr>
          <w:sz w:val="22"/>
        </w:rPr>
      </w:pPr>
      <w:r w:rsidRPr="00580563">
        <w:rPr>
          <w:sz w:val="22"/>
          <w:lang w:val="sr-Latn-RS"/>
        </w:rPr>
        <w:tab/>
      </w:r>
      <w:r w:rsidR="00580563" w:rsidRPr="00580563">
        <w:rPr>
          <w:sz w:val="22"/>
          <w:lang w:val="sr-Latn-RS"/>
        </w:rPr>
        <w:t xml:space="preserve">Esto es lo que quedó en mi  memoria de esa lectura, lo que quedó en mis notas escrita a prisa con los dedos helados. </w:t>
      </w:r>
      <w:r w:rsidR="005410A9" w:rsidRPr="00580563">
        <w:rPr>
          <w:rFonts w:cs="Times New Roman"/>
          <w:sz w:val="22"/>
        </w:rPr>
        <w:t>[…] I</w:t>
      </w:r>
      <w:r w:rsidR="00580563" w:rsidRPr="00580563">
        <w:rPr>
          <w:rFonts w:cs="Times New Roman"/>
          <w:sz w:val="22"/>
        </w:rPr>
        <w:t>nsatisfactorio y fr</w:t>
      </w:r>
      <w:r w:rsidR="005410A9" w:rsidRPr="00580563">
        <w:rPr>
          <w:rFonts w:cs="Times New Roman"/>
          <w:sz w:val="22"/>
        </w:rPr>
        <w:t xml:space="preserve">agmentario en relación con el </w:t>
      </w:r>
      <w:r w:rsidR="005410A9" w:rsidRPr="00580563">
        <w:rPr>
          <w:rFonts w:cs="Times New Roman"/>
          <w:i/>
          <w:iCs/>
          <w:sz w:val="22"/>
        </w:rPr>
        <w:t>original</w:t>
      </w:r>
      <w:r w:rsidR="005410A9" w:rsidRPr="00580563">
        <w:rPr>
          <w:rFonts w:cs="Times New Roman"/>
          <w:sz w:val="22"/>
        </w:rPr>
        <w:t xml:space="preserve"> </w:t>
      </w:r>
      <w:r w:rsidRPr="00580563">
        <w:rPr>
          <w:sz w:val="22"/>
        </w:rPr>
        <w:t>(1997:</w:t>
      </w:r>
      <w:r w:rsidR="005410A9" w:rsidRPr="00580563">
        <w:rPr>
          <w:sz w:val="22"/>
        </w:rPr>
        <w:t xml:space="preserve"> 6</w:t>
      </w:r>
      <w:r w:rsidR="00580563" w:rsidRPr="00580563">
        <w:rPr>
          <w:sz w:val="22"/>
        </w:rPr>
        <w:t>0</w:t>
      </w:r>
      <w:r w:rsidRPr="00580563">
        <w:rPr>
          <w:sz w:val="22"/>
        </w:rPr>
        <w:t>)</w:t>
      </w:r>
      <w:r w:rsidR="002A4C94" w:rsidRPr="00580563">
        <w:rPr>
          <w:sz w:val="22"/>
        </w:rPr>
        <w:t>.</w:t>
      </w:r>
      <w:r w:rsidR="00580563">
        <w:rPr>
          <w:rStyle w:val="Refdenotaalpie"/>
          <w:sz w:val="22"/>
        </w:rPr>
        <w:footnoteReference w:id="9"/>
      </w:r>
    </w:p>
    <w:p w14:paraId="44981B42" w14:textId="77777777" w:rsidR="00EF5E07" w:rsidRDefault="00EF5E07" w:rsidP="00EF5E07">
      <w:pPr>
        <w:spacing w:after="0" w:line="360" w:lineRule="auto"/>
        <w:ind w:left="1134"/>
        <w:rPr>
          <w:sz w:val="22"/>
        </w:rPr>
      </w:pPr>
    </w:p>
    <w:p w14:paraId="1B7B14D3" w14:textId="57B6F64E" w:rsidR="005410A9" w:rsidRDefault="0047295D" w:rsidP="00571F15">
      <w:pPr>
        <w:spacing w:after="0" w:line="360" w:lineRule="auto"/>
        <w:rPr>
          <w:szCs w:val="24"/>
        </w:rPr>
      </w:pPr>
      <w:r w:rsidRPr="0047295D">
        <w:rPr>
          <w:szCs w:val="24"/>
        </w:rPr>
        <w:tab/>
      </w:r>
      <w:r w:rsidR="002F257D">
        <w:rPr>
          <w:szCs w:val="24"/>
        </w:rPr>
        <w:t>E</w:t>
      </w:r>
      <w:r w:rsidR="005410A9">
        <w:rPr>
          <w:szCs w:val="24"/>
        </w:rPr>
        <w:t xml:space="preserve">l “original” </w:t>
      </w:r>
      <w:r w:rsidR="002F257D">
        <w:rPr>
          <w:szCs w:val="24"/>
        </w:rPr>
        <w:t>de Ki</w:t>
      </w:r>
      <w:r w:rsidR="002F257D">
        <w:rPr>
          <w:szCs w:val="24"/>
          <w:lang w:val="sr-Latn-RS"/>
        </w:rPr>
        <w:t>š supera la literatura; es ac</w:t>
      </w:r>
      <w:r w:rsidR="002F257D">
        <w:rPr>
          <w:szCs w:val="24"/>
        </w:rPr>
        <w:t>á</w:t>
      </w:r>
      <w:r w:rsidR="002F257D">
        <w:rPr>
          <w:szCs w:val="24"/>
          <w:lang w:val="sr-Latn-RS"/>
        </w:rPr>
        <w:t xml:space="preserve"> </w:t>
      </w:r>
      <w:r w:rsidR="005410A9">
        <w:rPr>
          <w:szCs w:val="24"/>
        </w:rPr>
        <w:t xml:space="preserve">la enciclopedia, pero también la </w:t>
      </w:r>
      <w:r w:rsidR="00E02F06">
        <w:rPr>
          <w:szCs w:val="24"/>
        </w:rPr>
        <w:t>v</w:t>
      </w:r>
      <w:r w:rsidR="005410A9">
        <w:rPr>
          <w:szCs w:val="24"/>
        </w:rPr>
        <w:t>ida, en tanto mapa y territorio coinciden.</w:t>
      </w:r>
    </w:p>
    <w:p w14:paraId="194A471B" w14:textId="54B34627" w:rsidR="00571F15" w:rsidRDefault="0047295D" w:rsidP="005410A9">
      <w:pPr>
        <w:spacing w:after="0" w:line="360" w:lineRule="auto"/>
        <w:ind w:firstLine="708"/>
        <w:rPr>
          <w:lang w:val="hr-HR"/>
        </w:rPr>
      </w:pPr>
      <w:r w:rsidRPr="0047295D">
        <w:rPr>
          <w:szCs w:val="24"/>
        </w:rPr>
        <w:t xml:space="preserve">Hasta </w:t>
      </w:r>
      <w:r w:rsidR="004645EC">
        <w:rPr>
          <w:szCs w:val="24"/>
        </w:rPr>
        <w:t>aquí las similitudes. En cuanto a las diferencias, además de la estilística, que, como señala Freixas Terrades, se manifiesta en Ki</w:t>
      </w:r>
      <w:r w:rsidR="004645EC">
        <w:rPr>
          <w:szCs w:val="24"/>
          <w:lang w:val="sr-Latn-RS"/>
        </w:rPr>
        <w:t>š</w:t>
      </w:r>
      <w:r w:rsidR="004645EC">
        <w:rPr>
          <w:szCs w:val="24"/>
        </w:rPr>
        <w:t xml:space="preserve"> en una “escritura esponjada y distendida, muy alejada de la condensación propia de los cuentos del argentino” (2016: </w:t>
      </w:r>
      <w:r w:rsidR="004645EC" w:rsidRPr="00FE03AB">
        <w:rPr>
          <w:szCs w:val="24"/>
        </w:rPr>
        <w:t xml:space="preserve">269), </w:t>
      </w:r>
      <w:r w:rsidR="00E02F06" w:rsidRPr="00FE03AB">
        <w:rPr>
          <w:szCs w:val="24"/>
        </w:rPr>
        <w:t xml:space="preserve">las </w:t>
      </w:r>
      <w:r w:rsidR="004645EC" w:rsidRPr="00FE03AB">
        <w:rPr>
          <w:szCs w:val="24"/>
        </w:rPr>
        <w:t>hay procedimentales que de alguna manera también explican la estilística. La</w:t>
      </w:r>
      <w:r w:rsidR="004645EC">
        <w:rPr>
          <w:szCs w:val="24"/>
        </w:rPr>
        <w:t xml:space="preserve"> “eclosión” borgiana se empieza a desdibujar para perfilarse </w:t>
      </w:r>
      <w:r w:rsidR="00C123BF">
        <w:rPr>
          <w:szCs w:val="24"/>
        </w:rPr>
        <w:t>contra</w:t>
      </w:r>
      <w:r w:rsidR="004645EC">
        <w:rPr>
          <w:szCs w:val="24"/>
        </w:rPr>
        <w:t>borgeana.</w:t>
      </w:r>
      <w:r w:rsidR="008022E4">
        <w:rPr>
          <w:szCs w:val="24"/>
        </w:rPr>
        <w:t xml:space="preserve"> </w:t>
      </w:r>
      <w:r w:rsidR="00E02F06">
        <w:rPr>
          <w:lang w:val="hr-HR"/>
        </w:rPr>
        <w:t>Verifi</w:t>
      </w:r>
      <w:r w:rsidR="008022E4">
        <w:rPr>
          <w:lang w:val="hr-HR"/>
        </w:rPr>
        <w:t>que</w:t>
      </w:r>
      <w:r w:rsidR="00E02F06">
        <w:rPr>
          <w:lang w:val="hr-HR"/>
        </w:rPr>
        <w:t>mos</w:t>
      </w:r>
      <w:r w:rsidR="00571F15">
        <w:rPr>
          <w:lang w:val="hr-HR"/>
        </w:rPr>
        <w:t xml:space="preserve"> algunas </w:t>
      </w:r>
      <w:r w:rsidR="00E02F06">
        <w:rPr>
          <w:lang w:val="hr-HR"/>
        </w:rPr>
        <w:t xml:space="preserve">de estas </w:t>
      </w:r>
      <w:r w:rsidR="00571F15">
        <w:rPr>
          <w:lang w:val="hr-HR"/>
        </w:rPr>
        <w:t>diferencias, para ver luego qué conclusion</w:t>
      </w:r>
      <w:r w:rsidR="00E02F06">
        <w:rPr>
          <w:lang w:val="hr-HR"/>
        </w:rPr>
        <w:t>e</w:t>
      </w:r>
      <w:r w:rsidR="00571F15">
        <w:rPr>
          <w:lang w:val="hr-HR"/>
        </w:rPr>
        <w:t>s podemos extraer.</w:t>
      </w:r>
    </w:p>
    <w:p w14:paraId="4E1EF3DB" w14:textId="77777777" w:rsidR="00F44B07" w:rsidRDefault="00E34E84" w:rsidP="00571F15">
      <w:pPr>
        <w:spacing w:after="0" w:line="360" w:lineRule="auto"/>
        <w:ind w:firstLine="708"/>
        <w:rPr>
          <w:lang w:val="hr-HR"/>
        </w:rPr>
      </w:pPr>
      <w:r>
        <w:rPr>
          <w:lang w:val="hr-HR"/>
        </w:rPr>
        <w:t xml:space="preserve">Niños-mujeres-sexo-paternidad. </w:t>
      </w:r>
    </w:p>
    <w:p w14:paraId="6A3418D6" w14:textId="5629A073" w:rsidR="00E975B8" w:rsidRDefault="00E02F06" w:rsidP="00571F15">
      <w:pPr>
        <w:spacing w:after="0" w:line="360" w:lineRule="auto"/>
        <w:ind w:firstLine="708"/>
      </w:pPr>
      <w:r>
        <w:lastRenderedPageBreak/>
        <w:t xml:space="preserve">En “La enciclopedia de los muertos”, una </w:t>
      </w:r>
      <w:r w:rsidR="00C123BF">
        <w:rPr>
          <w:lang w:val="hr-HR"/>
        </w:rPr>
        <w:t xml:space="preserve">narradora </w:t>
      </w:r>
      <w:r w:rsidR="00C123BF">
        <w:t>“busca” a su padre</w:t>
      </w:r>
      <w:r w:rsidR="00721A8D">
        <w:t xml:space="preserve"> y</w:t>
      </w:r>
      <w:r w:rsidR="00501695">
        <w:t xml:space="preserve"> lee su biografía </w:t>
      </w:r>
      <w:r>
        <w:t xml:space="preserve">en el </w:t>
      </w:r>
      <w:r w:rsidR="00501695">
        <w:t>tomo correspondiente</w:t>
      </w:r>
      <w:r w:rsidR="008022E4">
        <w:t>, biografía que comienza, como es natural, con su niñez</w:t>
      </w:r>
      <w:r w:rsidR="00501695">
        <w:t>.</w:t>
      </w:r>
      <w:r w:rsidR="00C123BF">
        <w:t xml:space="preserve"> </w:t>
      </w:r>
      <w:r w:rsidR="00305411">
        <w:t>E</w:t>
      </w:r>
      <w:r>
        <w:t xml:space="preserve">n Borges, </w:t>
      </w:r>
      <w:r w:rsidR="00305411">
        <w:t xml:space="preserve">la sexualidad y la paternidad son rechazadas desde las primeras páginas </w:t>
      </w:r>
      <w:r w:rsidR="008022E4">
        <w:t xml:space="preserve">de “Tlön” </w:t>
      </w:r>
      <w:r w:rsidR="00305411">
        <w:t xml:space="preserve">en un juego de memoria deficiente y “cita literal”. El </w:t>
      </w:r>
      <w:r w:rsidR="00C123BF">
        <w:t xml:space="preserve">narrador homónimo </w:t>
      </w:r>
      <w:r w:rsidR="00305411">
        <w:t xml:space="preserve">de Borges </w:t>
      </w:r>
      <w:r w:rsidR="00633C0B">
        <w:t>(citando, en un juego de espejos, al personaje Bioy Casares</w:t>
      </w:r>
      <w:r>
        <w:t>, quien cita</w:t>
      </w:r>
      <w:r w:rsidR="00305411">
        <w:t xml:space="preserve"> de memoria</w:t>
      </w:r>
      <w:r w:rsidR="00633C0B">
        <w:t xml:space="preserve"> la enciclopedia)</w:t>
      </w:r>
      <w:r w:rsidR="00305411">
        <w:t xml:space="preserve"> dice</w:t>
      </w:r>
      <w:r w:rsidR="00633C0B">
        <w:t xml:space="preserve">: “Los espejos y la cópula son abominables, porque multiplican </w:t>
      </w:r>
      <w:r w:rsidR="00305411">
        <w:t>el número de los hombres”. Luego</w:t>
      </w:r>
      <w:r>
        <w:t>, el narrador</w:t>
      </w:r>
      <w:r w:rsidR="00305411">
        <w:t xml:space="preserve"> verifica </w:t>
      </w:r>
      <w:r w:rsidR="008022E4">
        <w:t xml:space="preserve">la frase. En realidad, </w:t>
      </w:r>
      <w:r w:rsidR="00305411">
        <w:t>la enciclopedia</w:t>
      </w:r>
      <w:r w:rsidR="008022E4">
        <w:t xml:space="preserve"> dice d</w:t>
      </w:r>
      <w:r>
        <w:t>el universo que</w:t>
      </w:r>
      <w:r w:rsidR="00305411">
        <w:t xml:space="preserve"> “Los espejos y la paternidad son abominable</w:t>
      </w:r>
      <w:r>
        <w:t>s</w:t>
      </w:r>
      <w:r w:rsidR="00305411">
        <w:t xml:space="preserve"> (</w:t>
      </w:r>
      <w:r w:rsidR="00305411">
        <w:rPr>
          <w:i/>
          <w:iCs/>
        </w:rPr>
        <w:t>mirror and fatherhood are hat</w:t>
      </w:r>
      <w:r w:rsidR="009D5EB8">
        <w:rPr>
          <w:i/>
          <w:iCs/>
        </w:rPr>
        <w:t>e</w:t>
      </w:r>
      <w:r w:rsidR="00305411">
        <w:rPr>
          <w:i/>
          <w:iCs/>
        </w:rPr>
        <w:t>ful</w:t>
      </w:r>
      <w:r w:rsidR="00305411">
        <w:t xml:space="preserve">) porque lo multiplican y lo divulgan” (1992: II 19, 20). </w:t>
      </w:r>
      <w:r w:rsidR="008022E4">
        <w:t>Este rechazo de la sexualidad y de la paternidad (declarado tres veces en el cuento: dos variaciones en español y una en inglés) expulsa a las mujeres de gran parte de la obra borgiana. N</w:t>
      </w:r>
      <w:r w:rsidR="00571F15">
        <w:t xml:space="preserve">o hay personajes femeninos ni en “Tlön”, ni en “La </w:t>
      </w:r>
      <w:r w:rsidR="006148D2">
        <w:t>B</w:t>
      </w:r>
      <w:r w:rsidR="00571F15">
        <w:t xml:space="preserve">iblioteca de Babel”, así como tampoco hay niños en </w:t>
      </w:r>
      <w:r>
        <w:t>la obra de Borges</w:t>
      </w:r>
      <w:r w:rsidR="00571F15">
        <w:t>.</w:t>
      </w:r>
      <w:r w:rsidR="00757EE8">
        <w:rPr>
          <w:rStyle w:val="Refdenotaalpie"/>
        </w:rPr>
        <w:footnoteReference w:id="10"/>
      </w:r>
      <w:r w:rsidR="00571F15">
        <w:t xml:space="preserve"> </w:t>
      </w:r>
    </w:p>
    <w:p w14:paraId="41D9C16C" w14:textId="38BDBB58" w:rsidR="00F44B07" w:rsidRDefault="00571F15" w:rsidP="00571F15">
      <w:pPr>
        <w:spacing w:after="0" w:line="360" w:lineRule="auto"/>
      </w:pPr>
      <w:r>
        <w:tab/>
      </w:r>
      <w:r w:rsidR="00E34E84">
        <w:t>Orden</w:t>
      </w:r>
      <w:r w:rsidR="00A5380B">
        <w:t>-jerarquía.</w:t>
      </w:r>
      <w:r w:rsidR="00E34E84">
        <w:t xml:space="preserve"> </w:t>
      </w:r>
    </w:p>
    <w:p w14:paraId="1F93FE61" w14:textId="5E0B651C" w:rsidR="006148D2" w:rsidRDefault="00571F15" w:rsidP="00F44B07">
      <w:pPr>
        <w:spacing w:after="0" w:line="360" w:lineRule="auto"/>
        <w:ind w:firstLine="708"/>
      </w:pPr>
      <w:r>
        <w:t>En Borges</w:t>
      </w:r>
      <w:r w:rsidR="00F44B07">
        <w:t xml:space="preserve">, la </w:t>
      </w:r>
      <w:r>
        <w:t>búsqueda del orden</w:t>
      </w:r>
      <w:r w:rsidR="00F44B07">
        <w:t xml:space="preserve"> en los textos literarios </w:t>
      </w:r>
      <w:r>
        <w:t>se refleja en sus posiciones políticas ambivalentes de apoyo al discurso civilizatorio y rechazo de</w:t>
      </w:r>
      <w:r w:rsidR="00F44B07">
        <w:t>l nacionalismo y del comunismo</w:t>
      </w:r>
      <w:r>
        <w:t xml:space="preserve">. En “Tlön”, por ejemplo, el Borges narrador declara: </w:t>
      </w:r>
    </w:p>
    <w:p w14:paraId="11457A48" w14:textId="77777777" w:rsidR="006148D2" w:rsidRDefault="006148D2" w:rsidP="00571F15">
      <w:pPr>
        <w:spacing w:after="0" w:line="360" w:lineRule="auto"/>
      </w:pPr>
    </w:p>
    <w:p w14:paraId="3AF6EAAE" w14:textId="20B48C41" w:rsidR="00C123BF" w:rsidRDefault="00571F15" w:rsidP="006148D2">
      <w:pPr>
        <w:spacing w:after="0" w:line="360" w:lineRule="auto"/>
        <w:ind w:left="1134" w:firstLine="282"/>
        <w:rPr>
          <w:sz w:val="22"/>
        </w:rPr>
      </w:pPr>
      <w:r w:rsidRPr="006148D2">
        <w:rPr>
          <w:sz w:val="22"/>
        </w:rPr>
        <w:t xml:space="preserve">Hace diez años bastaba cualquier apariencia de orden </w:t>
      </w:r>
      <w:r w:rsidR="006148D2" w:rsidRPr="006148D2">
        <w:rPr>
          <w:sz w:val="22"/>
        </w:rPr>
        <w:t xml:space="preserve">–el materialismo dialéctico, el antisemitismo, en nazismo– para </w:t>
      </w:r>
      <w:r w:rsidR="00006704" w:rsidRPr="006148D2">
        <w:rPr>
          <w:sz w:val="22"/>
        </w:rPr>
        <w:t>embelesar</w:t>
      </w:r>
      <w:r w:rsidR="006148D2" w:rsidRPr="006148D2">
        <w:rPr>
          <w:sz w:val="22"/>
        </w:rPr>
        <w:t xml:space="preserve"> a los hombres. ¿Cómo no someterse a Tlön, a la minuciosa y vasta evidencia de un planeta ordenado? Inútil responder que la realidad también está ordenada. Quizá lo esté, pero de acuerdo a leyes divinas –traduzco: a leyes inhumanas– que no acabamos nunca de percibir. Tlön será un laberinto, pero es un laberinto urdido por hombres, un laberinto destinado a que lo descifren los hombres</w:t>
      </w:r>
      <w:r w:rsidR="006148D2">
        <w:rPr>
          <w:sz w:val="22"/>
        </w:rPr>
        <w:t xml:space="preserve"> (1992: II 31).</w:t>
      </w:r>
    </w:p>
    <w:p w14:paraId="17B7F2DE" w14:textId="77777777" w:rsidR="006148D2" w:rsidRDefault="006148D2" w:rsidP="006148D2">
      <w:pPr>
        <w:spacing w:after="0" w:line="360" w:lineRule="auto"/>
        <w:rPr>
          <w:sz w:val="22"/>
        </w:rPr>
      </w:pPr>
    </w:p>
    <w:p w14:paraId="68F80407" w14:textId="402B8F1A" w:rsidR="006148D2" w:rsidRDefault="006148D2" w:rsidP="006148D2">
      <w:pPr>
        <w:spacing w:after="0" w:line="360" w:lineRule="auto"/>
        <w:rPr>
          <w:szCs w:val="24"/>
        </w:rPr>
      </w:pPr>
      <w:r>
        <w:rPr>
          <w:szCs w:val="24"/>
        </w:rPr>
        <w:tab/>
        <w:t>“La Biblioteca de Babel”</w:t>
      </w:r>
      <w:r w:rsidR="00006704">
        <w:rPr>
          <w:szCs w:val="24"/>
        </w:rPr>
        <w:t>, por su parte,</w:t>
      </w:r>
      <w:r>
        <w:rPr>
          <w:szCs w:val="24"/>
        </w:rPr>
        <w:t xml:space="preserve"> concluye</w:t>
      </w:r>
      <w:r w:rsidR="00006704">
        <w:rPr>
          <w:szCs w:val="24"/>
        </w:rPr>
        <w:t xml:space="preserve"> con</w:t>
      </w:r>
      <w:r>
        <w:rPr>
          <w:szCs w:val="24"/>
        </w:rPr>
        <w:t xml:space="preserve"> una hipótesis sobre la naturaleza enigmática de la Biblioteca, que no es ni más ni menos que la esperanza del Orden: </w:t>
      </w:r>
    </w:p>
    <w:p w14:paraId="029C0086" w14:textId="77777777" w:rsidR="006148D2" w:rsidRDefault="006148D2" w:rsidP="006148D2">
      <w:pPr>
        <w:spacing w:after="0" w:line="360" w:lineRule="auto"/>
        <w:rPr>
          <w:szCs w:val="24"/>
        </w:rPr>
      </w:pPr>
    </w:p>
    <w:p w14:paraId="6C81F193" w14:textId="426232B3" w:rsidR="00C123BF" w:rsidRDefault="006148D2" w:rsidP="006148D2">
      <w:pPr>
        <w:spacing w:after="0" w:line="360" w:lineRule="auto"/>
        <w:ind w:left="1134"/>
        <w:rPr>
          <w:sz w:val="22"/>
        </w:rPr>
      </w:pPr>
      <w:r w:rsidRPr="006148D2">
        <w:rPr>
          <w:sz w:val="22"/>
        </w:rPr>
        <w:tab/>
      </w:r>
      <w:r w:rsidRPr="006148D2">
        <w:rPr>
          <w:i/>
          <w:iCs/>
          <w:sz w:val="22"/>
        </w:rPr>
        <w:t xml:space="preserve">La Biblioteca es ilimitada y periódica. </w:t>
      </w:r>
      <w:r w:rsidRPr="006148D2">
        <w:rPr>
          <w:sz w:val="22"/>
        </w:rPr>
        <w:t xml:space="preserve">Si un eterno viajero la atravesara en cualquier dirección, comprobaría al cabo de los siglos que los mismos volúmenes </w:t>
      </w:r>
      <w:r w:rsidRPr="006148D2">
        <w:rPr>
          <w:sz w:val="22"/>
        </w:rPr>
        <w:lastRenderedPageBreak/>
        <w:t xml:space="preserve">se repiten en el mismo desorden (que, repetido, sería un orden: el Orden). Mi soledad se alegra con esa elegante esperanza (1992, II 61).  </w:t>
      </w:r>
    </w:p>
    <w:p w14:paraId="47F806F3" w14:textId="77777777" w:rsidR="006148D2" w:rsidRDefault="006148D2" w:rsidP="006148D2">
      <w:pPr>
        <w:spacing w:after="0" w:line="360" w:lineRule="auto"/>
        <w:rPr>
          <w:i/>
          <w:iCs/>
          <w:sz w:val="22"/>
        </w:rPr>
      </w:pPr>
    </w:p>
    <w:p w14:paraId="7C833760" w14:textId="5889F2A5" w:rsidR="004D3AB6" w:rsidRDefault="006148D2" w:rsidP="00F44B07">
      <w:pPr>
        <w:spacing w:after="0" w:line="360" w:lineRule="auto"/>
        <w:ind w:firstLine="708"/>
        <w:rPr>
          <w:szCs w:val="24"/>
          <w:lang w:val="sr-Latn-RS"/>
        </w:rPr>
      </w:pPr>
      <w:r>
        <w:rPr>
          <w:szCs w:val="24"/>
        </w:rPr>
        <w:t>En Ki</w:t>
      </w:r>
      <w:r>
        <w:rPr>
          <w:szCs w:val="24"/>
          <w:lang w:val="sr-Latn-RS"/>
        </w:rPr>
        <w:t xml:space="preserve">š, </w:t>
      </w:r>
      <w:r w:rsidR="004D3AB6">
        <w:rPr>
          <w:szCs w:val="24"/>
          <w:lang w:val="sr-Latn-RS"/>
        </w:rPr>
        <w:t xml:space="preserve">el Aleph se convierte en procedimiento ideológico contra las jerarquías. Quienes redactan la enciclopedia: </w:t>
      </w:r>
    </w:p>
    <w:p w14:paraId="2D8DA61C" w14:textId="77777777" w:rsidR="004D3AB6" w:rsidRDefault="004D3AB6" w:rsidP="00F44B07">
      <w:pPr>
        <w:spacing w:after="0" w:line="360" w:lineRule="auto"/>
        <w:ind w:firstLine="708"/>
        <w:rPr>
          <w:szCs w:val="24"/>
          <w:lang w:val="sr-Latn-RS"/>
        </w:rPr>
      </w:pPr>
    </w:p>
    <w:p w14:paraId="4FCCFD92" w14:textId="77777777" w:rsidR="00EB1951" w:rsidRDefault="00EB1951" w:rsidP="004D3AB6">
      <w:pPr>
        <w:spacing w:after="0" w:line="360" w:lineRule="auto"/>
        <w:ind w:left="1134" w:firstLine="284"/>
        <w:rPr>
          <w:sz w:val="22"/>
          <w:highlight w:val="yellow"/>
          <w:lang w:val="sr-Latn-RS"/>
        </w:rPr>
      </w:pPr>
    </w:p>
    <w:p w14:paraId="758AF41A" w14:textId="407CCF51" w:rsidR="004D3AB6" w:rsidRPr="004D3AB6" w:rsidRDefault="000A7664" w:rsidP="000A7664">
      <w:pPr>
        <w:spacing w:after="0" w:line="360" w:lineRule="auto"/>
        <w:ind w:left="1134"/>
        <w:rPr>
          <w:sz w:val="22"/>
        </w:rPr>
      </w:pPr>
      <w:r>
        <w:rPr>
          <w:sz w:val="22"/>
        </w:rPr>
        <w:t>s</w:t>
      </w:r>
      <w:r w:rsidR="00E808AA">
        <w:rPr>
          <w:sz w:val="22"/>
        </w:rPr>
        <w:t>iguiendo</w:t>
      </w:r>
      <w:r w:rsidR="00EB1951" w:rsidRPr="00E808AA">
        <w:rPr>
          <w:sz w:val="22"/>
        </w:rPr>
        <w:t xml:space="preserve"> la lógica de su programa –que no existen en la vida humana ni cosas insignificantes ni jerarquía de los sucesos– registraron todas las enfermedades infantiles que hemos tenido, p</w:t>
      </w:r>
      <w:r w:rsidR="004D3AB6" w:rsidRPr="00E808AA">
        <w:rPr>
          <w:sz w:val="22"/>
          <w:lang w:val="sr-Latn-RS"/>
        </w:rPr>
        <w:t xml:space="preserve">aperas, anginas, </w:t>
      </w:r>
      <w:r w:rsidR="008F524E">
        <w:rPr>
          <w:sz w:val="22"/>
        </w:rPr>
        <w:t>tos convulsa</w:t>
      </w:r>
      <w:r w:rsidR="004D3AB6" w:rsidRPr="00E808AA">
        <w:rPr>
          <w:sz w:val="22"/>
          <w:lang w:val="sr-Latn-RS"/>
        </w:rPr>
        <w:t xml:space="preserve">, sarna, </w:t>
      </w:r>
      <w:r w:rsidR="00E808AA" w:rsidRPr="00E808AA">
        <w:rPr>
          <w:sz w:val="22"/>
          <w:lang w:val="sr-Latn-RS"/>
        </w:rPr>
        <w:t>e incluso</w:t>
      </w:r>
      <w:r w:rsidR="004D3AB6" w:rsidRPr="00E808AA">
        <w:rPr>
          <w:sz w:val="22"/>
          <w:lang w:val="sr-Latn-RS"/>
        </w:rPr>
        <w:t xml:space="preserve"> la aparición de los </w:t>
      </w:r>
      <w:r w:rsidR="00006704" w:rsidRPr="00E808AA">
        <w:rPr>
          <w:sz w:val="22"/>
          <w:lang w:val="sr-Latn-RS"/>
        </w:rPr>
        <w:t>p</w:t>
      </w:r>
      <w:r w:rsidR="004D3AB6" w:rsidRPr="00E808AA">
        <w:rPr>
          <w:sz w:val="22"/>
          <w:lang w:val="sr-Latn-RS"/>
        </w:rPr>
        <w:t xml:space="preserve">iojos y </w:t>
      </w:r>
      <w:r w:rsidR="008F524E">
        <w:rPr>
          <w:sz w:val="22"/>
          <w:lang w:val="sr-Latn-RS"/>
        </w:rPr>
        <w:t>las afecciones</w:t>
      </w:r>
      <w:r w:rsidR="004D3AB6" w:rsidRPr="00E808AA">
        <w:rPr>
          <w:sz w:val="22"/>
          <w:lang w:val="sr-Latn-RS"/>
        </w:rPr>
        <w:t xml:space="preserve"> </w:t>
      </w:r>
      <w:r w:rsidR="008F524E">
        <w:rPr>
          <w:sz w:val="22"/>
          <w:lang w:val="sr-Latn-RS"/>
        </w:rPr>
        <w:t>pulmonares</w:t>
      </w:r>
      <w:r w:rsidR="004D3AB6" w:rsidRPr="00E808AA">
        <w:rPr>
          <w:sz w:val="22"/>
          <w:lang w:val="sr-Latn-RS"/>
        </w:rPr>
        <w:t xml:space="preserve"> de mi padre (6</w:t>
      </w:r>
      <w:r w:rsidR="00E808AA" w:rsidRPr="00E808AA">
        <w:rPr>
          <w:sz w:val="22"/>
          <w:lang w:val="sr-Latn-RS"/>
        </w:rPr>
        <w:t>5</w:t>
      </w:r>
      <w:r w:rsidR="004D3AB6" w:rsidRPr="00E808AA">
        <w:rPr>
          <w:sz w:val="22"/>
          <w:lang w:val="sr-Latn-RS"/>
        </w:rPr>
        <w:t>)</w:t>
      </w:r>
      <w:r w:rsidR="00006704">
        <w:rPr>
          <w:sz w:val="22"/>
          <w:lang w:val="sr-Latn-RS"/>
        </w:rPr>
        <w:t>.</w:t>
      </w:r>
      <w:r w:rsidR="00E808AA">
        <w:rPr>
          <w:rStyle w:val="Refdenotaalpie"/>
          <w:sz w:val="22"/>
          <w:lang w:val="sr-Latn-RS"/>
        </w:rPr>
        <w:footnoteReference w:id="11"/>
      </w:r>
    </w:p>
    <w:p w14:paraId="318C690C" w14:textId="77777777" w:rsidR="004D3AB6" w:rsidRDefault="004D3AB6" w:rsidP="00F44B07">
      <w:pPr>
        <w:spacing w:after="0" w:line="360" w:lineRule="auto"/>
        <w:ind w:firstLine="708"/>
        <w:rPr>
          <w:szCs w:val="24"/>
        </w:rPr>
      </w:pPr>
    </w:p>
    <w:p w14:paraId="3EDFC7D7" w14:textId="0B0BBF89" w:rsidR="006148D2" w:rsidRPr="004D3AB6" w:rsidRDefault="009D5EB8" w:rsidP="00F44B07">
      <w:pPr>
        <w:spacing w:after="0" w:line="360" w:lineRule="auto"/>
        <w:ind w:firstLine="708"/>
        <w:rPr>
          <w:szCs w:val="24"/>
        </w:rPr>
      </w:pPr>
      <w:r>
        <w:rPr>
          <w:szCs w:val="24"/>
        </w:rPr>
        <w:t xml:space="preserve">Esto se refleja en </w:t>
      </w:r>
      <w:r w:rsidR="004D3AB6">
        <w:rPr>
          <w:szCs w:val="24"/>
        </w:rPr>
        <w:t>general en la obra de Ki</w:t>
      </w:r>
      <w:r w:rsidR="004D3AB6">
        <w:rPr>
          <w:szCs w:val="24"/>
          <w:lang w:val="sr-Latn-RS"/>
        </w:rPr>
        <w:t xml:space="preserve">š, crítica del poder y resistente a cualquier intento de apropiación o captación a través del </w:t>
      </w:r>
      <w:r w:rsidR="004D3AB6">
        <w:rPr>
          <w:i/>
          <w:iCs/>
          <w:szCs w:val="24"/>
          <w:lang w:val="sr-Latn-RS"/>
        </w:rPr>
        <w:t>art engagé</w:t>
      </w:r>
      <w:r w:rsidR="00006704">
        <w:rPr>
          <w:szCs w:val="24"/>
          <w:lang w:val="sr-Latn-RS"/>
        </w:rPr>
        <w:t xml:space="preserve">, </w:t>
      </w:r>
      <w:r w:rsidR="000A7664">
        <w:rPr>
          <w:szCs w:val="24"/>
          <w:lang w:val="sr-Latn-RS"/>
        </w:rPr>
        <w:t>crítica que no adhiere</w:t>
      </w:r>
      <w:r w:rsidR="00006704">
        <w:rPr>
          <w:szCs w:val="24"/>
          <w:lang w:val="sr-Latn-RS"/>
        </w:rPr>
        <w:t>, sin embargo, a ningún esteticismo.</w:t>
      </w:r>
      <w:r w:rsidR="004D3AB6">
        <w:rPr>
          <w:szCs w:val="24"/>
          <w:lang w:val="sr-Latn-RS"/>
        </w:rPr>
        <w:t xml:space="preserve"> En el cuento que nos concierne, el marco de la narración es profundamente político. La narradora viaja a Suecia invitada por el Instituto para la Investigación Teatral</w:t>
      </w:r>
      <w:r w:rsidR="00006704">
        <w:rPr>
          <w:szCs w:val="24"/>
          <w:lang w:val="sr-Latn-RS"/>
        </w:rPr>
        <w:t xml:space="preserve"> y</w:t>
      </w:r>
      <w:r w:rsidR="004D3AB6">
        <w:rPr>
          <w:szCs w:val="24"/>
          <w:lang w:val="sr-Latn-RS"/>
        </w:rPr>
        <w:t xml:space="preserve"> asiste allí</w:t>
      </w:r>
      <w:r w:rsidR="00006704">
        <w:rPr>
          <w:szCs w:val="24"/>
          <w:lang w:val="sr-Latn-RS"/>
        </w:rPr>
        <w:t>, en una prisión,</w:t>
      </w:r>
      <w:r w:rsidR="004D3AB6">
        <w:rPr>
          <w:szCs w:val="24"/>
          <w:lang w:val="sr-Latn-RS"/>
        </w:rPr>
        <w:t xml:space="preserve"> a una función teatral de </w:t>
      </w:r>
      <w:r w:rsidR="004D3AB6">
        <w:rPr>
          <w:i/>
          <w:iCs/>
          <w:szCs w:val="24"/>
          <w:lang w:val="sr-Latn-RS"/>
        </w:rPr>
        <w:t>Esperando a Godot</w:t>
      </w:r>
      <w:r w:rsidR="004D3AB6">
        <w:rPr>
          <w:szCs w:val="24"/>
          <w:lang w:val="sr-Latn-RS"/>
        </w:rPr>
        <w:t xml:space="preserve">. </w:t>
      </w:r>
      <w:r w:rsidR="00AE26DD">
        <w:rPr>
          <w:szCs w:val="24"/>
          <w:lang w:val="sr-Latn-RS"/>
        </w:rPr>
        <w:t xml:space="preserve">A la noche, al llegar a la biblioteca ya cerrada, esta y su portero son descriptos en términos carcelarios: el portero es un Cancerbero con un manojo de llaves como el guardián de la prisión que había visitado, la biblioteca es </w:t>
      </w:r>
      <w:r w:rsidR="00AE26DD" w:rsidRPr="00216FE5">
        <w:rPr>
          <w:szCs w:val="24"/>
          <w:lang w:val="sr-Latn-RS"/>
        </w:rPr>
        <w:t>una casamata</w:t>
      </w:r>
      <w:r w:rsidR="00E808AA">
        <w:rPr>
          <w:szCs w:val="24"/>
          <w:lang w:val="sr-Latn-RS"/>
        </w:rPr>
        <w:t xml:space="preserve"> (52)</w:t>
      </w:r>
      <w:r w:rsidR="00AE26DD">
        <w:rPr>
          <w:szCs w:val="24"/>
          <w:lang w:val="sr-Latn-RS"/>
        </w:rPr>
        <w:t>.</w:t>
      </w:r>
      <w:r w:rsidR="00E808AA">
        <w:rPr>
          <w:rStyle w:val="Refdenotaalpie"/>
          <w:szCs w:val="24"/>
          <w:lang w:val="sr-Latn-RS"/>
        </w:rPr>
        <w:footnoteReference w:id="12"/>
      </w:r>
      <w:r w:rsidR="00AE26DD">
        <w:rPr>
          <w:szCs w:val="24"/>
          <w:lang w:val="sr-Latn-RS"/>
        </w:rPr>
        <w:t xml:space="preserve"> No es casual, en este sentido, que el escenario fuera Suecia, paraíso de los refugiados políticos en la época. El procedimiento onírico reelabora los materiales diurnos para un nuevo simbolismo</w:t>
      </w:r>
      <w:r w:rsidR="00006704">
        <w:rPr>
          <w:szCs w:val="24"/>
          <w:lang w:val="sr-Latn-RS"/>
        </w:rPr>
        <w:t xml:space="preserve"> y</w:t>
      </w:r>
      <w:r w:rsidR="00AE26DD">
        <w:rPr>
          <w:szCs w:val="24"/>
          <w:lang w:val="sr-Latn-RS"/>
        </w:rPr>
        <w:t xml:space="preserve"> subraya</w:t>
      </w:r>
      <w:r w:rsidR="00006704">
        <w:rPr>
          <w:szCs w:val="24"/>
          <w:lang w:val="sr-Latn-RS"/>
        </w:rPr>
        <w:t xml:space="preserve"> así</w:t>
      </w:r>
      <w:r w:rsidR="00AE26DD">
        <w:rPr>
          <w:szCs w:val="24"/>
          <w:lang w:val="sr-Latn-RS"/>
        </w:rPr>
        <w:t xml:space="preserve"> la opresión política</w:t>
      </w:r>
      <w:r w:rsidR="00006704">
        <w:rPr>
          <w:szCs w:val="24"/>
          <w:lang w:val="sr-Latn-RS"/>
        </w:rPr>
        <w:t xml:space="preserve">. En el interior de la prisión, en un libro encadenado, </w:t>
      </w:r>
      <w:r w:rsidR="00AE26DD">
        <w:rPr>
          <w:szCs w:val="24"/>
          <w:lang w:val="sr-Latn-RS"/>
        </w:rPr>
        <w:t>la  narradora</w:t>
      </w:r>
      <w:r w:rsidR="004D7CF7">
        <w:rPr>
          <w:szCs w:val="24"/>
          <w:lang w:val="sr-Latn-RS"/>
        </w:rPr>
        <w:t xml:space="preserve"> podrá, tras su anábasis, </w:t>
      </w:r>
      <w:r w:rsidR="00AE26DD">
        <w:rPr>
          <w:szCs w:val="24"/>
          <w:lang w:val="sr-Latn-RS"/>
        </w:rPr>
        <w:t xml:space="preserve">liberar el recuerdo del hombre común que era su padre y </w:t>
      </w:r>
      <w:r w:rsidR="004D7CF7">
        <w:rPr>
          <w:szCs w:val="24"/>
        </w:rPr>
        <w:t>“devolverle” la plenitud de</w:t>
      </w:r>
      <w:r w:rsidR="00AE26DD">
        <w:rPr>
          <w:szCs w:val="24"/>
          <w:lang w:val="sr-Latn-RS"/>
        </w:rPr>
        <w:t xml:space="preserve"> su vida. </w:t>
      </w:r>
      <w:r w:rsidR="00006704">
        <w:rPr>
          <w:szCs w:val="24"/>
          <w:lang w:val="sr-Latn-RS"/>
        </w:rPr>
        <w:t xml:space="preserve">O liberar, </w:t>
      </w:r>
      <w:r w:rsidR="004D7CF7">
        <w:rPr>
          <w:szCs w:val="24"/>
          <w:lang w:val="sr-Latn-RS"/>
        </w:rPr>
        <w:t xml:space="preserve">al menos, </w:t>
      </w:r>
      <w:r w:rsidR="00006704">
        <w:rPr>
          <w:szCs w:val="24"/>
          <w:lang w:val="sr-Latn-RS"/>
        </w:rPr>
        <w:t>en</w:t>
      </w:r>
      <w:r w:rsidR="004D7CF7">
        <w:rPr>
          <w:szCs w:val="24"/>
          <w:lang w:val="sr-Latn-RS"/>
        </w:rPr>
        <w:t xml:space="preserve"> sus notas apuradas, </w:t>
      </w:r>
      <w:r w:rsidR="00AE26DD">
        <w:rPr>
          <w:szCs w:val="24"/>
          <w:lang w:val="sr-Latn-RS"/>
        </w:rPr>
        <w:t>algunos fragmentos de la misma</w:t>
      </w:r>
      <w:r w:rsidR="004D7CF7">
        <w:rPr>
          <w:szCs w:val="24"/>
          <w:lang w:val="sr-Latn-RS"/>
        </w:rPr>
        <w:t>.</w:t>
      </w:r>
      <w:r w:rsidR="00AE26DD">
        <w:rPr>
          <w:szCs w:val="24"/>
          <w:lang w:val="sr-Latn-RS"/>
        </w:rPr>
        <w:t xml:space="preserve">  </w:t>
      </w:r>
    </w:p>
    <w:p w14:paraId="6AC91C5F" w14:textId="0B451FAE" w:rsidR="00F44B07" w:rsidRDefault="00BB302B" w:rsidP="00F44B07">
      <w:pPr>
        <w:spacing w:after="0" w:line="360" w:lineRule="auto"/>
        <w:ind w:firstLine="708"/>
        <w:rPr>
          <w:szCs w:val="24"/>
        </w:rPr>
      </w:pPr>
      <w:r>
        <w:rPr>
          <w:szCs w:val="24"/>
        </w:rPr>
        <w:t>Biografía-</w:t>
      </w:r>
      <w:r w:rsidR="00063D60">
        <w:rPr>
          <w:szCs w:val="24"/>
        </w:rPr>
        <w:t>mapa-territorio-</w:t>
      </w:r>
      <w:r>
        <w:rPr>
          <w:szCs w:val="24"/>
        </w:rPr>
        <w:t>destino.</w:t>
      </w:r>
    </w:p>
    <w:p w14:paraId="54768D0D" w14:textId="5EBA0FD5" w:rsidR="009521A6" w:rsidRDefault="003E4136" w:rsidP="00F44B07">
      <w:pPr>
        <w:spacing w:after="0" w:line="360" w:lineRule="auto"/>
        <w:ind w:firstLine="708"/>
        <w:rPr>
          <w:szCs w:val="24"/>
          <w:lang w:val="sr-Latn-RS"/>
        </w:rPr>
      </w:pPr>
      <w:r>
        <w:rPr>
          <w:szCs w:val="24"/>
        </w:rPr>
        <w:t>La biografía suele presentarse en Borges como la repetición de un arquetipo. Este se revela a veces como tal en una epifanía, usualmente al borde de la muerte, donde el destino da sentido a la vida. Así, podemos leer tales variaciones en “Historia del guerrero y la cautiva”, “La trama”, “Poema conjetural”, “</w:t>
      </w:r>
      <w:r>
        <w:rPr>
          <w:i/>
          <w:iCs/>
          <w:szCs w:val="24"/>
        </w:rPr>
        <w:t>Inferno</w:t>
      </w:r>
      <w:r>
        <w:rPr>
          <w:szCs w:val="24"/>
        </w:rPr>
        <w:t>, I, 32”. En Ki</w:t>
      </w:r>
      <w:r>
        <w:rPr>
          <w:szCs w:val="24"/>
          <w:lang w:val="sr-Latn-RS"/>
        </w:rPr>
        <w:t xml:space="preserve">š, por el </w:t>
      </w:r>
      <w:r>
        <w:rPr>
          <w:szCs w:val="24"/>
          <w:lang w:val="sr-Latn-RS"/>
        </w:rPr>
        <w:lastRenderedPageBreak/>
        <w:t xml:space="preserve">contrario, importa lo particular, que hace humano a lo humano. </w:t>
      </w:r>
      <w:r w:rsidR="000A7664">
        <w:rPr>
          <w:szCs w:val="24"/>
          <w:lang w:val="sr-Latn-RS"/>
        </w:rPr>
        <w:t>L</w:t>
      </w:r>
      <w:r>
        <w:rPr>
          <w:szCs w:val="24"/>
          <w:lang w:val="sr-Latn-RS"/>
        </w:rPr>
        <w:t>a vida</w:t>
      </w:r>
      <w:r w:rsidR="000A7664">
        <w:rPr>
          <w:szCs w:val="24"/>
          <w:lang w:val="sr-Latn-RS"/>
        </w:rPr>
        <w:t xml:space="preserve"> se justifica en</w:t>
      </w:r>
      <w:r>
        <w:rPr>
          <w:szCs w:val="24"/>
          <w:lang w:val="sr-Latn-RS"/>
        </w:rPr>
        <w:t xml:space="preserve"> la valoración final de quienes quedan vivos. </w:t>
      </w:r>
      <w:r w:rsidR="009521A6">
        <w:rPr>
          <w:szCs w:val="24"/>
          <w:lang w:val="sr-Latn-RS"/>
        </w:rPr>
        <w:t xml:space="preserve">En Borges, lo general conduce a la síntesis, síntesis que es a la vez la solución por fuga de la pesadilla totalizante de la realidad. Al no poder confiar en nuestra percepción de la realidad objetiva, ni en la capacidad de la litertatura para captarla, el mundo está amenzado de ficción: la Biblioteca se hace total, la Enciclopedia reemplaza a la vida. </w:t>
      </w:r>
    </w:p>
    <w:p w14:paraId="3FA75365" w14:textId="4AB9D578" w:rsidR="00F371A3" w:rsidRDefault="009521A6" w:rsidP="00F44B07">
      <w:pPr>
        <w:spacing w:after="0" w:line="360" w:lineRule="auto"/>
        <w:ind w:firstLine="708"/>
        <w:rPr>
          <w:szCs w:val="24"/>
        </w:rPr>
      </w:pPr>
      <w:r>
        <w:rPr>
          <w:szCs w:val="24"/>
          <w:lang w:val="sr-Latn-RS"/>
        </w:rPr>
        <w:t>En Kiš</w:t>
      </w:r>
      <w:r>
        <w:rPr>
          <w:szCs w:val="24"/>
        </w:rPr>
        <w:t xml:space="preserve">, la importancia </w:t>
      </w:r>
      <w:r w:rsidR="00F43F55">
        <w:rPr>
          <w:szCs w:val="24"/>
        </w:rPr>
        <w:t>de</w:t>
      </w:r>
      <w:r>
        <w:rPr>
          <w:szCs w:val="24"/>
        </w:rPr>
        <w:t xml:space="preserve"> lo particular aguza el manejo subjetivo del punto de vista, la focalización en personajes alejados del autor</w:t>
      </w:r>
      <w:r w:rsidR="00F43F55">
        <w:rPr>
          <w:szCs w:val="24"/>
        </w:rPr>
        <w:t>:</w:t>
      </w:r>
      <w:r w:rsidR="00F371A3">
        <w:rPr>
          <w:szCs w:val="24"/>
        </w:rPr>
        <w:t xml:space="preserve"> en el presente caso, una mujer</w:t>
      </w:r>
      <w:r w:rsidR="00F43F55">
        <w:rPr>
          <w:szCs w:val="24"/>
        </w:rPr>
        <w:t xml:space="preserve">. </w:t>
      </w:r>
      <w:r w:rsidR="00CD7A19">
        <w:rPr>
          <w:szCs w:val="24"/>
        </w:rPr>
        <w:t>Podría penarse la narradora de Ki</w:t>
      </w:r>
      <w:r w:rsidR="00CD7A19">
        <w:rPr>
          <w:szCs w:val="24"/>
          <w:lang w:val="sr-Latn-RS"/>
        </w:rPr>
        <w:t xml:space="preserve">š en </w:t>
      </w:r>
      <w:r w:rsidR="00EC6B3E">
        <w:rPr>
          <w:szCs w:val="24"/>
          <w:lang w:val="sr-Latn-RS"/>
        </w:rPr>
        <w:t>línea</w:t>
      </w:r>
      <w:r w:rsidR="00CD7A19">
        <w:rPr>
          <w:szCs w:val="24"/>
        </w:rPr>
        <w:t xml:space="preserve"> con</w:t>
      </w:r>
      <w:r w:rsidR="000A7664">
        <w:rPr>
          <w:szCs w:val="24"/>
        </w:rPr>
        <w:t xml:space="preserve"> “Emma Zunz” y “La intrusa”, </w:t>
      </w:r>
      <w:r w:rsidR="00CD7A19">
        <w:rPr>
          <w:szCs w:val="24"/>
        </w:rPr>
        <w:t>los relatos borgianos de mujeres</w:t>
      </w:r>
      <w:r w:rsidR="000A7664">
        <w:rPr>
          <w:szCs w:val="24"/>
        </w:rPr>
        <w:t>, en tanto, repetimos la cita de Kiš</w:t>
      </w:r>
      <w:r w:rsidR="000A7664">
        <w:rPr>
          <w:szCs w:val="24"/>
          <w:lang w:val="sr-Cyrl-RS"/>
        </w:rPr>
        <w:t xml:space="preserve">, </w:t>
      </w:r>
      <w:r w:rsidR="0087197E" w:rsidRPr="0087197E">
        <w:rPr>
          <w:szCs w:val="24"/>
        </w:rPr>
        <w:t>“</w:t>
      </w:r>
      <w:r w:rsidR="0087197E" w:rsidRPr="0087197E">
        <w:rPr>
          <w:szCs w:val="24"/>
          <w:lang w:val="sr-Latn-RS"/>
        </w:rPr>
        <w:t>se alejan del ser metafísico y trasladan el acento del alma al cuerpo</w:t>
      </w:r>
      <w:r w:rsidR="0087197E" w:rsidRPr="0087197E">
        <w:rPr>
          <w:szCs w:val="24"/>
        </w:rPr>
        <w:t>”</w:t>
      </w:r>
      <w:r w:rsidR="000A7664">
        <w:rPr>
          <w:szCs w:val="24"/>
        </w:rPr>
        <w:t xml:space="preserve"> </w:t>
      </w:r>
      <w:r w:rsidR="0087197E">
        <w:rPr>
          <w:szCs w:val="24"/>
        </w:rPr>
        <w:t>(</w:t>
      </w:r>
      <w:r w:rsidR="0087197E">
        <w:rPr>
          <w:szCs w:val="24"/>
          <w:lang w:val="sr-Latn-RS"/>
        </w:rPr>
        <w:t>Kiš, 1979: 55</w:t>
      </w:r>
      <w:r w:rsidR="0087197E">
        <w:rPr>
          <w:szCs w:val="24"/>
        </w:rPr>
        <w:t>). Sin embargo</w:t>
      </w:r>
      <w:r w:rsidR="00CD7A19">
        <w:rPr>
          <w:szCs w:val="24"/>
        </w:rPr>
        <w:t xml:space="preserve">, Kiš los lleva a otro lado dándole voz a su protagonista (ambos cuentos de Borges están </w:t>
      </w:r>
      <w:r w:rsidR="00EC6B3E">
        <w:rPr>
          <w:szCs w:val="24"/>
        </w:rPr>
        <w:t>relatados por una primera persona testigo.</w:t>
      </w:r>
      <w:r w:rsidR="00CD7A19">
        <w:rPr>
          <w:szCs w:val="24"/>
        </w:rPr>
        <w:t xml:space="preserve"> </w:t>
      </w:r>
      <w:r w:rsidR="00EC6B3E">
        <w:rPr>
          <w:szCs w:val="24"/>
        </w:rPr>
        <w:t>En Ki</w:t>
      </w:r>
      <w:r w:rsidR="00EC6B3E">
        <w:rPr>
          <w:szCs w:val="24"/>
          <w:lang w:val="sr-Latn-RS"/>
        </w:rPr>
        <w:t xml:space="preserve">š, el punto de vista de la narradora, que emerge en su plena subjetividad hacia el final, está focalizado durante la mayor parte del relato, a través de la encilopedia, en su padre. </w:t>
      </w:r>
      <w:r w:rsidR="00F43F55">
        <w:rPr>
          <w:szCs w:val="24"/>
        </w:rPr>
        <w:t>Es la estrategia misma de la enciclopedia</w:t>
      </w:r>
      <w:r w:rsidR="00F43F55" w:rsidRPr="00D02842">
        <w:rPr>
          <w:szCs w:val="24"/>
        </w:rPr>
        <w:t xml:space="preserve">: “Porque cada </w:t>
      </w:r>
      <w:r w:rsidR="00D02842" w:rsidRPr="00D02842">
        <w:rPr>
          <w:szCs w:val="24"/>
        </w:rPr>
        <w:t xml:space="preserve">suceso </w:t>
      </w:r>
      <w:r w:rsidR="00D02842" w:rsidRPr="00D02842">
        <w:rPr>
          <w:rFonts w:cs="Times New Roman"/>
          <w:szCs w:val="24"/>
        </w:rPr>
        <w:t>[histórico]</w:t>
      </w:r>
      <w:r w:rsidR="00F43F55" w:rsidRPr="00D02842">
        <w:rPr>
          <w:szCs w:val="24"/>
        </w:rPr>
        <w:t xml:space="preserve">, ya lo </w:t>
      </w:r>
      <w:r w:rsidR="00D02842" w:rsidRPr="00D02842">
        <w:rPr>
          <w:szCs w:val="24"/>
        </w:rPr>
        <w:t>dije</w:t>
      </w:r>
      <w:r w:rsidR="00F43F55" w:rsidRPr="00D02842">
        <w:rPr>
          <w:szCs w:val="24"/>
        </w:rPr>
        <w:t xml:space="preserve">, </w:t>
      </w:r>
      <w:r w:rsidR="00D02842" w:rsidRPr="00D02842">
        <w:rPr>
          <w:szCs w:val="24"/>
        </w:rPr>
        <w:t>se relaciona con</w:t>
      </w:r>
      <w:r w:rsidR="00F43F55" w:rsidRPr="00D02842">
        <w:rPr>
          <w:szCs w:val="24"/>
        </w:rPr>
        <w:t xml:space="preserve"> su destino particular” (6</w:t>
      </w:r>
      <w:r w:rsidR="00D02842" w:rsidRPr="00D02842">
        <w:rPr>
          <w:szCs w:val="24"/>
        </w:rPr>
        <w:t>3</w:t>
      </w:r>
      <w:r w:rsidR="00F43F55" w:rsidRPr="00D02842">
        <w:rPr>
          <w:szCs w:val="24"/>
        </w:rPr>
        <w:t>),</w:t>
      </w:r>
      <w:r w:rsidR="00AB6FD3">
        <w:rPr>
          <w:rStyle w:val="Refdenotaalpie"/>
          <w:szCs w:val="24"/>
        </w:rPr>
        <w:footnoteReference w:id="13"/>
      </w:r>
      <w:r w:rsidR="00F43F55" w:rsidRPr="00D02842">
        <w:rPr>
          <w:szCs w:val="24"/>
        </w:rPr>
        <w:t xml:space="preserve"> mientras que, en</w:t>
      </w:r>
      <w:r w:rsidRPr="00D02842">
        <w:rPr>
          <w:szCs w:val="24"/>
        </w:rPr>
        <w:t xml:space="preserve"> Borges</w:t>
      </w:r>
      <w:r w:rsidR="00F371A3" w:rsidRPr="00D02842">
        <w:rPr>
          <w:szCs w:val="24"/>
        </w:rPr>
        <w:t xml:space="preserve">, </w:t>
      </w:r>
      <w:r w:rsidRPr="00D02842">
        <w:rPr>
          <w:szCs w:val="24"/>
        </w:rPr>
        <w:t>los narradores se confunden con la voz autoral</w:t>
      </w:r>
      <w:r w:rsidR="00EC6B3E" w:rsidRPr="00D02842">
        <w:rPr>
          <w:szCs w:val="24"/>
        </w:rPr>
        <w:t xml:space="preserve"> (es el caso mismo de “Emma Zunz” y de “La intrusa”, cuyos narradores son fáciles de asimilar, por su estilo, al propio Borges)</w:t>
      </w:r>
      <w:r w:rsidR="00F43F55" w:rsidRPr="00D02842">
        <w:rPr>
          <w:szCs w:val="24"/>
        </w:rPr>
        <w:t>.</w:t>
      </w:r>
      <w:r w:rsidR="00F371A3" w:rsidRPr="00D02842">
        <w:rPr>
          <w:szCs w:val="24"/>
        </w:rPr>
        <w:t xml:space="preserve"> </w:t>
      </w:r>
      <w:r w:rsidR="0048099F">
        <w:rPr>
          <w:szCs w:val="24"/>
        </w:rPr>
        <w:t>Así, a</w:t>
      </w:r>
      <w:r w:rsidR="00F43F55" w:rsidRPr="00D02842">
        <w:rPr>
          <w:szCs w:val="24"/>
        </w:rPr>
        <w:t xml:space="preserve"> diferencia del destino genérico en Borges, en Ki</w:t>
      </w:r>
      <w:r w:rsidR="00F43F55" w:rsidRPr="00D02842">
        <w:rPr>
          <w:szCs w:val="24"/>
          <w:lang w:val="sr-Latn-RS"/>
        </w:rPr>
        <w:t>š l</w:t>
      </w:r>
      <w:r w:rsidR="00F371A3" w:rsidRPr="00D02842">
        <w:rPr>
          <w:szCs w:val="24"/>
        </w:rPr>
        <w:t xml:space="preserve">o particular se singulariza hasta lo paradójico: “Porque </w:t>
      </w:r>
      <w:r w:rsidR="00D02842" w:rsidRPr="00D02842">
        <w:rPr>
          <w:rFonts w:cs="Times New Roman"/>
          <w:szCs w:val="24"/>
        </w:rPr>
        <w:t>[…]</w:t>
      </w:r>
      <w:r w:rsidR="00D02842" w:rsidRPr="00D02842">
        <w:rPr>
          <w:szCs w:val="24"/>
        </w:rPr>
        <w:t xml:space="preserve"> </w:t>
      </w:r>
      <w:r w:rsidR="00F371A3" w:rsidRPr="00D02842">
        <w:rPr>
          <w:szCs w:val="24"/>
        </w:rPr>
        <w:t>nunca se repite nada en la historia de los seres humanos</w:t>
      </w:r>
      <w:r w:rsidR="00D02842" w:rsidRPr="00D02842">
        <w:rPr>
          <w:szCs w:val="24"/>
        </w:rPr>
        <w:t xml:space="preserve">, </w:t>
      </w:r>
      <w:r w:rsidR="00F371A3" w:rsidRPr="00D02842">
        <w:rPr>
          <w:szCs w:val="24"/>
        </w:rPr>
        <w:t xml:space="preserve">todo lo que parece igual </w:t>
      </w:r>
      <w:r w:rsidR="00D02842" w:rsidRPr="00D02842">
        <w:rPr>
          <w:szCs w:val="24"/>
        </w:rPr>
        <w:t xml:space="preserve">a primera vista </w:t>
      </w:r>
      <w:r w:rsidR="00F371A3" w:rsidRPr="00D02842">
        <w:rPr>
          <w:szCs w:val="24"/>
        </w:rPr>
        <w:t>es</w:t>
      </w:r>
      <w:r w:rsidR="00D02842" w:rsidRPr="00D02842">
        <w:rPr>
          <w:szCs w:val="24"/>
        </w:rPr>
        <w:t xml:space="preserve"> apenas</w:t>
      </w:r>
      <w:r w:rsidR="00F371A3" w:rsidRPr="00D02842">
        <w:rPr>
          <w:szCs w:val="24"/>
        </w:rPr>
        <w:t xml:space="preserve"> similar; cada hombre es un astro </w:t>
      </w:r>
      <w:r w:rsidR="00D02842" w:rsidRPr="00D02842">
        <w:rPr>
          <w:szCs w:val="24"/>
        </w:rPr>
        <w:t>para sí</w:t>
      </w:r>
      <w:r w:rsidR="00F371A3" w:rsidRPr="00D02842">
        <w:rPr>
          <w:szCs w:val="24"/>
        </w:rPr>
        <w:t xml:space="preserve">, todo </w:t>
      </w:r>
      <w:r w:rsidR="00D02842" w:rsidRPr="00D02842">
        <w:rPr>
          <w:szCs w:val="24"/>
        </w:rPr>
        <w:t>sucede</w:t>
      </w:r>
      <w:r w:rsidR="00F371A3" w:rsidRPr="00D02842">
        <w:rPr>
          <w:szCs w:val="24"/>
        </w:rPr>
        <w:t xml:space="preserve"> siempre y nunca, todo se repite </w:t>
      </w:r>
      <w:r w:rsidR="00D02842" w:rsidRPr="00D02842">
        <w:rPr>
          <w:szCs w:val="24"/>
        </w:rPr>
        <w:t>infinita e irrepetiblemente</w:t>
      </w:r>
      <w:r w:rsidR="00F371A3" w:rsidRPr="00D02842">
        <w:rPr>
          <w:szCs w:val="24"/>
        </w:rPr>
        <w:t>” (6</w:t>
      </w:r>
      <w:r w:rsidR="00D02842" w:rsidRPr="00D02842">
        <w:rPr>
          <w:szCs w:val="24"/>
        </w:rPr>
        <w:t>1</w:t>
      </w:r>
      <w:r w:rsidR="00F371A3" w:rsidRPr="00D02842">
        <w:rPr>
          <w:szCs w:val="24"/>
        </w:rPr>
        <w:t>).</w:t>
      </w:r>
      <w:r w:rsidR="00D02842" w:rsidRPr="00D02842">
        <w:rPr>
          <w:rStyle w:val="Refdenotaalpie"/>
          <w:szCs w:val="24"/>
        </w:rPr>
        <w:footnoteReference w:id="14"/>
      </w:r>
      <w:r w:rsidR="00F43F55" w:rsidRPr="00D02842">
        <w:rPr>
          <w:szCs w:val="24"/>
        </w:rPr>
        <w:t xml:space="preserve"> </w:t>
      </w:r>
      <w:r w:rsidR="0048099F">
        <w:rPr>
          <w:szCs w:val="24"/>
        </w:rPr>
        <w:t>Consecuentemente</w:t>
      </w:r>
      <w:r w:rsidR="00F43F55" w:rsidRPr="00D02842">
        <w:rPr>
          <w:szCs w:val="24"/>
        </w:rPr>
        <w:t xml:space="preserve">, </w:t>
      </w:r>
      <w:r w:rsidR="00BC1C91" w:rsidRPr="00D02842">
        <w:rPr>
          <w:szCs w:val="24"/>
        </w:rPr>
        <w:t>la</w:t>
      </w:r>
      <w:r w:rsidR="00BC1C91">
        <w:rPr>
          <w:szCs w:val="24"/>
        </w:rPr>
        <w:t xml:space="preserve"> historia no es nunca cíclica ni arquetípica, </w:t>
      </w:r>
      <w:r w:rsidR="00BC1C91" w:rsidRPr="00AF11D3">
        <w:rPr>
          <w:szCs w:val="24"/>
        </w:rPr>
        <w:t xml:space="preserve">sino </w:t>
      </w:r>
      <w:r w:rsidR="00F43F55" w:rsidRPr="00AF11D3">
        <w:rPr>
          <w:szCs w:val="24"/>
        </w:rPr>
        <w:t>“la suma de los destinos humanos” (</w:t>
      </w:r>
      <w:r w:rsidR="00AF11D3" w:rsidRPr="00AF11D3">
        <w:rPr>
          <w:szCs w:val="24"/>
        </w:rPr>
        <w:t>65</w:t>
      </w:r>
      <w:r w:rsidR="00F43F55" w:rsidRPr="00AF11D3">
        <w:rPr>
          <w:szCs w:val="24"/>
        </w:rPr>
        <w:t>)</w:t>
      </w:r>
      <w:r w:rsidR="00BC1C91" w:rsidRPr="00AF11D3">
        <w:rPr>
          <w:szCs w:val="24"/>
        </w:rPr>
        <w:t>.</w:t>
      </w:r>
      <w:r w:rsidR="00AF11D3" w:rsidRPr="00AF11D3">
        <w:rPr>
          <w:rStyle w:val="Refdenotaalpie"/>
          <w:szCs w:val="24"/>
        </w:rPr>
        <w:footnoteReference w:id="15"/>
      </w:r>
      <w:r w:rsidR="00BC1C91" w:rsidRPr="00AF11D3">
        <w:rPr>
          <w:szCs w:val="24"/>
        </w:rPr>
        <w:t xml:space="preserve"> Esto, unido al requisito de ser un hombre</w:t>
      </w:r>
      <w:r w:rsidR="00BC1C91">
        <w:rPr>
          <w:szCs w:val="24"/>
        </w:rPr>
        <w:t xml:space="preserve"> común para figurar en la </w:t>
      </w:r>
      <w:r w:rsidR="0048099F">
        <w:rPr>
          <w:szCs w:val="24"/>
        </w:rPr>
        <w:t>e</w:t>
      </w:r>
      <w:r w:rsidR="00BC1C91">
        <w:rPr>
          <w:szCs w:val="24"/>
        </w:rPr>
        <w:t>nciclopedia, hace del programa ki</w:t>
      </w:r>
      <w:r w:rsidR="00BC1C91">
        <w:rPr>
          <w:szCs w:val="24"/>
          <w:lang w:val="sr-Latn-RS"/>
        </w:rPr>
        <w:t>šiano, uno</w:t>
      </w:r>
      <w:r w:rsidR="0048099F">
        <w:rPr>
          <w:szCs w:val="24"/>
          <w:lang w:val="sr-Latn-RS"/>
        </w:rPr>
        <w:t xml:space="preserve"> </w:t>
      </w:r>
      <w:r w:rsidR="00BC1C91">
        <w:rPr>
          <w:szCs w:val="24"/>
        </w:rPr>
        <w:t xml:space="preserve">profundamente </w:t>
      </w:r>
      <w:r w:rsidR="00F43F55">
        <w:rPr>
          <w:szCs w:val="24"/>
        </w:rPr>
        <w:t xml:space="preserve">democrático.  </w:t>
      </w:r>
    </w:p>
    <w:p w14:paraId="3B8199D8" w14:textId="0FD30CD0" w:rsidR="00063D60" w:rsidRDefault="0048099F" w:rsidP="00063D60">
      <w:pPr>
        <w:spacing w:after="0" w:line="360" w:lineRule="auto"/>
        <w:ind w:firstLine="708"/>
        <w:rPr>
          <w:szCs w:val="24"/>
          <w:lang w:val="sr-Latn-RS"/>
        </w:rPr>
      </w:pPr>
      <w:r>
        <w:rPr>
          <w:szCs w:val="24"/>
        </w:rPr>
        <w:t>Volviendo a l</w:t>
      </w:r>
      <w:r w:rsidR="00063D60">
        <w:rPr>
          <w:szCs w:val="24"/>
        </w:rPr>
        <w:t>a paradoja</w:t>
      </w:r>
      <w:r>
        <w:rPr>
          <w:szCs w:val="24"/>
        </w:rPr>
        <w:t>, su uso</w:t>
      </w:r>
      <w:r w:rsidR="00063D60">
        <w:rPr>
          <w:szCs w:val="24"/>
        </w:rPr>
        <w:t xml:space="preserve"> se muestra también diferente del borgiano. Se puede pensar la coincidencia de mapa y territorio, la reproducción total de una vida por la enciclopedia, en línea con la reproducción total de la vida por Funes, el memorioso. Sin embargo, en Borges esto conduce a la imposibilidad de pensar y refuerza la fuga por </w:t>
      </w:r>
      <w:r w:rsidR="00063D60">
        <w:rPr>
          <w:szCs w:val="24"/>
        </w:rPr>
        <w:lastRenderedPageBreak/>
        <w:t>la síntesis. En Ki</w:t>
      </w:r>
      <w:r w:rsidR="00063D60">
        <w:rPr>
          <w:szCs w:val="24"/>
          <w:lang w:val="sr-Latn-RS"/>
        </w:rPr>
        <w:t xml:space="preserve">š, la coincidencia de mapa y territorio refuerza la utopía del hombre común, el valor nietzschano de la vida por sí misma. </w:t>
      </w:r>
      <w:r w:rsidR="00CC3192">
        <w:rPr>
          <w:szCs w:val="24"/>
          <w:lang w:val="sr-Latn-RS"/>
        </w:rPr>
        <w:t xml:space="preserve">El mapa es una cuestión vital. No solo el padre de la narradora deviene cartógrafo, sino que el procedimeinto mismo busca el detalle contra la abstracción: </w:t>
      </w:r>
    </w:p>
    <w:p w14:paraId="0C8D892C" w14:textId="77777777" w:rsidR="00AF11D3" w:rsidRDefault="00AF11D3" w:rsidP="00063D60">
      <w:pPr>
        <w:spacing w:after="0" w:line="360" w:lineRule="auto"/>
        <w:ind w:firstLine="708"/>
        <w:rPr>
          <w:sz w:val="22"/>
          <w:lang w:val="sr-Latn-RS"/>
        </w:rPr>
      </w:pPr>
    </w:p>
    <w:p w14:paraId="35C6B332" w14:textId="644E2A66" w:rsidR="00AF11D3" w:rsidRPr="00FA485B" w:rsidRDefault="00AF11D3" w:rsidP="00216FE5">
      <w:pPr>
        <w:spacing w:after="0" w:line="360" w:lineRule="auto"/>
        <w:ind w:left="1134" w:firstLine="284"/>
        <w:rPr>
          <w:sz w:val="22"/>
          <w:lang w:val="sr-Latn-RS"/>
        </w:rPr>
      </w:pPr>
      <w:r>
        <w:rPr>
          <w:sz w:val="22"/>
          <w:lang w:val="sr-Latn-RS"/>
        </w:rPr>
        <w:t xml:space="preserve">Tracen mentalmente el mapa de esta región, amplíen cada </w:t>
      </w:r>
      <w:r w:rsidR="00A27CA5">
        <w:rPr>
          <w:sz w:val="22"/>
          <w:lang w:val="sr-Latn-RS"/>
        </w:rPr>
        <w:t>uno de los puntos del mapa o plano militar (1:50.000), amplíenlos hasta un tamaño real, marquen las calles y las casas en las que vivió, entren luego en el patio, en la casa, dibujen la disposición de las habitaciones, hagan un inventario de los muebles y de los frutales; y no olviden los nombres de las flores que crecen en el jardían detrás de la casa, así como como tampoco las noticias que lee y en las que se habla del pacto Ribendtrop-Molotov, de la fuga del gobierno de su Majestad, de los precios de la manteca y del carbón, de las proezas del az aér</w:t>
      </w:r>
      <w:r w:rsidR="0048099F">
        <w:rPr>
          <w:sz w:val="22"/>
          <w:lang w:val="sr-Latn-RS"/>
        </w:rPr>
        <w:t>e</w:t>
      </w:r>
      <w:r w:rsidR="00A27CA5">
        <w:rPr>
          <w:sz w:val="22"/>
          <w:lang w:val="sr-Latn-RS"/>
        </w:rPr>
        <w:t>o Aleksić... Así</w:t>
      </w:r>
      <w:r w:rsidR="0048099F">
        <w:rPr>
          <w:sz w:val="22"/>
          <w:lang w:val="sr-Latn-RS"/>
        </w:rPr>
        <w:t>,</w:t>
      </w:r>
      <w:r w:rsidR="00A27CA5">
        <w:rPr>
          <w:sz w:val="22"/>
          <w:lang w:val="sr-Latn-RS"/>
        </w:rPr>
        <w:t xml:space="preserve"> así proceden los m</w:t>
      </w:r>
      <w:r w:rsidR="0048099F">
        <w:rPr>
          <w:sz w:val="22"/>
          <w:lang w:val="sr-Latn-RS"/>
        </w:rPr>
        <w:t>a</w:t>
      </w:r>
      <w:r w:rsidR="00A27CA5">
        <w:rPr>
          <w:sz w:val="22"/>
          <w:lang w:val="sr-Latn-RS"/>
        </w:rPr>
        <w:t xml:space="preserve">estros de la </w:t>
      </w:r>
      <w:r w:rsidR="00A27CA5">
        <w:rPr>
          <w:i/>
          <w:iCs/>
          <w:sz w:val="22"/>
          <w:lang w:val="sr-Latn-RS"/>
        </w:rPr>
        <w:t xml:space="preserve">Enciclopedia </w:t>
      </w:r>
      <w:r w:rsidR="00A27CA5">
        <w:rPr>
          <w:sz w:val="22"/>
          <w:lang w:val="sr-Latn-RS"/>
        </w:rPr>
        <w:t>(63)</w:t>
      </w:r>
      <w:r w:rsidR="00A27CA5">
        <w:rPr>
          <w:i/>
          <w:iCs/>
          <w:sz w:val="22"/>
          <w:lang w:val="sr-Latn-RS"/>
        </w:rPr>
        <w:t>.</w:t>
      </w:r>
      <w:r w:rsidR="00FA485B" w:rsidRPr="00FA485B">
        <w:rPr>
          <w:rStyle w:val="Refdenotaalpie"/>
          <w:sz w:val="22"/>
          <w:lang w:val="sr-Latn-RS"/>
        </w:rPr>
        <w:footnoteReference w:id="16"/>
      </w:r>
    </w:p>
    <w:p w14:paraId="29E169EC" w14:textId="77777777" w:rsidR="00216FE5" w:rsidRDefault="00216FE5" w:rsidP="00216FE5">
      <w:pPr>
        <w:spacing w:after="0" w:line="360" w:lineRule="auto"/>
        <w:ind w:left="1134" w:firstLine="284"/>
        <w:rPr>
          <w:sz w:val="22"/>
          <w:lang w:val="sr-Latn-RS"/>
        </w:rPr>
      </w:pPr>
    </w:p>
    <w:p w14:paraId="17F73512" w14:textId="4383792E" w:rsidR="00BC1C91" w:rsidRDefault="00BC1C91" w:rsidP="00A27CA5">
      <w:pPr>
        <w:spacing w:after="0" w:line="360" w:lineRule="auto"/>
        <w:ind w:firstLine="708"/>
        <w:rPr>
          <w:szCs w:val="24"/>
        </w:rPr>
      </w:pPr>
      <w:r>
        <w:rPr>
          <w:szCs w:val="24"/>
        </w:rPr>
        <w:t xml:space="preserve">El río. </w:t>
      </w:r>
    </w:p>
    <w:p w14:paraId="0254347D" w14:textId="3307E202" w:rsidR="005225DC" w:rsidRDefault="00BC1C91" w:rsidP="00F44B07">
      <w:pPr>
        <w:spacing w:after="0" w:line="360" w:lineRule="auto"/>
        <w:ind w:firstLine="708"/>
        <w:rPr>
          <w:szCs w:val="24"/>
        </w:rPr>
      </w:pPr>
      <w:r>
        <w:rPr>
          <w:szCs w:val="24"/>
        </w:rPr>
        <w:t xml:space="preserve">De Heráclito, en Borges, porque </w:t>
      </w:r>
      <w:r w:rsidR="005225DC">
        <w:rPr>
          <w:szCs w:val="24"/>
        </w:rPr>
        <w:t>la identidad es mutable.</w:t>
      </w:r>
      <w:r w:rsidR="00281320">
        <w:rPr>
          <w:rStyle w:val="Refdenotaalpie"/>
          <w:szCs w:val="24"/>
        </w:rPr>
        <w:footnoteReference w:id="17"/>
      </w:r>
      <w:r w:rsidR="005225DC">
        <w:rPr>
          <w:szCs w:val="24"/>
        </w:rPr>
        <w:t xml:space="preserve"> </w:t>
      </w:r>
      <w:r w:rsidR="00245AC5">
        <w:rPr>
          <w:szCs w:val="24"/>
        </w:rPr>
        <w:t xml:space="preserve">Pero las consecuencias que extrae Borges de este hecho son el arquetipo y la ilusión. “Abracadabra” y Heráclito es Borges: </w:t>
      </w:r>
    </w:p>
    <w:p w14:paraId="45EEB365" w14:textId="736E5A4D" w:rsidR="005225DC" w:rsidRDefault="005225DC" w:rsidP="00F44B07">
      <w:pPr>
        <w:spacing w:after="0" w:line="360" w:lineRule="auto"/>
        <w:ind w:firstLine="708"/>
        <w:rPr>
          <w:szCs w:val="24"/>
        </w:rPr>
      </w:pPr>
      <w:r>
        <w:rPr>
          <w:szCs w:val="24"/>
        </w:rPr>
        <w:t xml:space="preserve"> </w:t>
      </w:r>
    </w:p>
    <w:p w14:paraId="14E28026" w14:textId="77777777" w:rsidR="005225DC" w:rsidRPr="005225DC" w:rsidRDefault="005225DC" w:rsidP="005225DC">
      <w:pPr>
        <w:spacing w:after="0" w:line="360" w:lineRule="auto"/>
        <w:ind w:firstLine="708"/>
        <w:rPr>
          <w:sz w:val="22"/>
        </w:rPr>
      </w:pPr>
      <w:r w:rsidRPr="005225DC">
        <w:rPr>
          <w:sz w:val="22"/>
        </w:rPr>
        <w:t>Heráclito no tiene ayer ni ahora.</w:t>
      </w:r>
    </w:p>
    <w:p w14:paraId="505ADE50" w14:textId="77777777" w:rsidR="005225DC" w:rsidRPr="005225DC" w:rsidRDefault="005225DC" w:rsidP="005225DC">
      <w:pPr>
        <w:spacing w:after="0" w:line="360" w:lineRule="auto"/>
        <w:ind w:firstLine="708"/>
        <w:rPr>
          <w:sz w:val="22"/>
        </w:rPr>
      </w:pPr>
      <w:r w:rsidRPr="005225DC">
        <w:rPr>
          <w:sz w:val="22"/>
        </w:rPr>
        <w:t>Es un mero artificio que ha soñado</w:t>
      </w:r>
    </w:p>
    <w:p w14:paraId="490F78DB" w14:textId="77777777" w:rsidR="005225DC" w:rsidRPr="005225DC" w:rsidRDefault="005225DC" w:rsidP="005225DC">
      <w:pPr>
        <w:spacing w:after="0" w:line="360" w:lineRule="auto"/>
        <w:ind w:firstLine="708"/>
        <w:rPr>
          <w:sz w:val="22"/>
        </w:rPr>
      </w:pPr>
      <w:r w:rsidRPr="005225DC">
        <w:rPr>
          <w:sz w:val="22"/>
        </w:rPr>
        <w:t>Un hombre gris a orillas del Red Cedar,</w:t>
      </w:r>
    </w:p>
    <w:p w14:paraId="719C4292" w14:textId="77777777" w:rsidR="005225DC" w:rsidRPr="005225DC" w:rsidRDefault="005225DC" w:rsidP="005225DC">
      <w:pPr>
        <w:spacing w:after="0" w:line="360" w:lineRule="auto"/>
        <w:ind w:firstLine="708"/>
        <w:rPr>
          <w:sz w:val="22"/>
        </w:rPr>
      </w:pPr>
      <w:r w:rsidRPr="005225DC">
        <w:rPr>
          <w:sz w:val="22"/>
        </w:rPr>
        <w:t>Un hombre que entreteje endecasílabos</w:t>
      </w:r>
    </w:p>
    <w:p w14:paraId="12B2D327" w14:textId="77777777" w:rsidR="005225DC" w:rsidRPr="005225DC" w:rsidRDefault="005225DC" w:rsidP="005225DC">
      <w:pPr>
        <w:spacing w:after="0" w:line="360" w:lineRule="auto"/>
        <w:ind w:firstLine="708"/>
        <w:rPr>
          <w:sz w:val="22"/>
        </w:rPr>
      </w:pPr>
      <w:r w:rsidRPr="005225DC">
        <w:rPr>
          <w:sz w:val="22"/>
        </w:rPr>
        <w:t>Para no pensar tanto en Buenos Aires</w:t>
      </w:r>
    </w:p>
    <w:p w14:paraId="715B393C" w14:textId="77777777" w:rsidR="005225DC" w:rsidRPr="00BE33B4" w:rsidRDefault="005225DC" w:rsidP="005225DC">
      <w:pPr>
        <w:spacing w:after="0" w:line="360" w:lineRule="auto"/>
        <w:ind w:firstLine="708"/>
        <w:rPr>
          <w:sz w:val="22"/>
        </w:rPr>
      </w:pPr>
      <w:r w:rsidRPr="005225DC">
        <w:rPr>
          <w:sz w:val="22"/>
        </w:rPr>
        <w:t>Y en los rostros queridos. Uno falta.</w:t>
      </w:r>
    </w:p>
    <w:p w14:paraId="773A6E4B" w14:textId="2085F9CF" w:rsidR="00245AC5" w:rsidRPr="00BE33B4" w:rsidRDefault="00245AC5" w:rsidP="005225DC">
      <w:pPr>
        <w:spacing w:after="0" w:line="360" w:lineRule="auto"/>
        <w:ind w:firstLine="708"/>
        <w:rPr>
          <w:sz w:val="22"/>
        </w:rPr>
      </w:pPr>
      <w:r w:rsidRPr="00BE33B4">
        <w:rPr>
          <w:sz w:val="22"/>
        </w:rPr>
        <w:tab/>
        <w:t xml:space="preserve">“Heráclito”, en </w:t>
      </w:r>
      <w:r w:rsidRPr="00BE33B4">
        <w:rPr>
          <w:i/>
          <w:iCs/>
          <w:sz w:val="22"/>
        </w:rPr>
        <w:t>La moneda de hierro</w:t>
      </w:r>
      <w:r w:rsidRPr="00BE33B4">
        <w:rPr>
          <w:sz w:val="22"/>
        </w:rPr>
        <w:t xml:space="preserve"> (1993, III 50)</w:t>
      </w:r>
    </w:p>
    <w:p w14:paraId="34016D9E" w14:textId="77777777" w:rsidR="00245AC5" w:rsidRDefault="00245AC5" w:rsidP="005225DC">
      <w:pPr>
        <w:spacing w:after="0" w:line="360" w:lineRule="auto"/>
        <w:ind w:firstLine="708"/>
        <w:rPr>
          <w:szCs w:val="24"/>
        </w:rPr>
      </w:pPr>
    </w:p>
    <w:p w14:paraId="03CE0E8E" w14:textId="77777777" w:rsidR="00245AC5" w:rsidRDefault="00245AC5" w:rsidP="005225DC">
      <w:pPr>
        <w:spacing w:after="0" w:line="360" w:lineRule="auto"/>
        <w:ind w:firstLine="708"/>
        <w:rPr>
          <w:szCs w:val="24"/>
        </w:rPr>
      </w:pPr>
      <w:r>
        <w:rPr>
          <w:szCs w:val="24"/>
        </w:rPr>
        <w:t>O la mutación se identifica con el tiempo (la muerte), y “abracadabra”, la vida es ilusoria:</w:t>
      </w:r>
    </w:p>
    <w:p w14:paraId="131B69B8" w14:textId="77777777" w:rsidR="00245AC5" w:rsidRDefault="00245AC5" w:rsidP="005225DC">
      <w:pPr>
        <w:spacing w:after="0" w:line="360" w:lineRule="auto"/>
        <w:ind w:firstLine="708"/>
        <w:rPr>
          <w:szCs w:val="24"/>
        </w:rPr>
      </w:pPr>
    </w:p>
    <w:p w14:paraId="1AFBF675" w14:textId="77777777" w:rsidR="00BE33B4" w:rsidRPr="00BE33B4" w:rsidRDefault="00BE33B4" w:rsidP="005225DC">
      <w:pPr>
        <w:spacing w:after="0" w:line="360" w:lineRule="auto"/>
        <w:ind w:firstLine="708"/>
        <w:rPr>
          <w:sz w:val="22"/>
        </w:rPr>
      </w:pPr>
      <w:r w:rsidRPr="00BE33B4">
        <w:rPr>
          <w:sz w:val="22"/>
        </w:rPr>
        <w:t>El río me arrebata y soy ese río.</w:t>
      </w:r>
    </w:p>
    <w:p w14:paraId="2AEBBB67" w14:textId="77777777" w:rsidR="00BE33B4" w:rsidRPr="00BE33B4" w:rsidRDefault="00BE33B4" w:rsidP="005225DC">
      <w:pPr>
        <w:spacing w:after="0" w:line="360" w:lineRule="auto"/>
        <w:ind w:firstLine="708"/>
        <w:rPr>
          <w:sz w:val="22"/>
        </w:rPr>
      </w:pPr>
      <w:r w:rsidRPr="00BE33B4">
        <w:rPr>
          <w:sz w:val="22"/>
        </w:rPr>
        <w:t>De una materia deleznable fui hecho, de misterioso tiempo.</w:t>
      </w:r>
    </w:p>
    <w:p w14:paraId="3DF0A6FA" w14:textId="77777777" w:rsidR="00BE33B4" w:rsidRPr="00BE33B4" w:rsidRDefault="00BE33B4" w:rsidP="005225DC">
      <w:pPr>
        <w:spacing w:after="0" w:line="360" w:lineRule="auto"/>
        <w:ind w:firstLine="708"/>
        <w:rPr>
          <w:sz w:val="22"/>
        </w:rPr>
      </w:pPr>
      <w:r w:rsidRPr="00BE33B4">
        <w:rPr>
          <w:sz w:val="22"/>
        </w:rPr>
        <w:t>Acaso el manantial está en mí.</w:t>
      </w:r>
    </w:p>
    <w:p w14:paraId="1557EB2F" w14:textId="77777777" w:rsidR="00BE33B4" w:rsidRPr="00BE33B4" w:rsidRDefault="00BE33B4" w:rsidP="005225DC">
      <w:pPr>
        <w:spacing w:after="0" w:line="360" w:lineRule="auto"/>
        <w:ind w:firstLine="708"/>
        <w:rPr>
          <w:sz w:val="22"/>
        </w:rPr>
      </w:pPr>
      <w:r w:rsidRPr="00BE33B4">
        <w:rPr>
          <w:sz w:val="22"/>
        </w:rPr>
        <w:t>Acaso de mi sombra</w:t>
      </w:r>
    </w:p>
    <w:p w14:paraId="59AC3DEA" w14:textId="77777777" w:rsidR="00BE33B4" w:rsidRPr="00BE33B4" w:rsidRDefault="00BE33B4" w:rsidP="005225DC">
      <w:pPr>
        <w:spacing w:after="0" w:line="360" w:lineRule="auto"/>
        <w:ind w:firstLine="708"/>
        <w:rPr>
          <w:sz w:val="22"/>
        </w:rPr>
      </w:pPr>
      <w:r w:rsidRPr="00BE33B4">
        <w:rPr>
          <w:sz w:val="22"/>
        </w:rPr>
        <w:t xml:space="preserve">surgen, fatales e ilusorios, los días. </w:t>
      </w:r>
    </w:p>
    <w:p w14:paraId="1A0AC9AE" w14:textId="262950ED" w:rsidR="00245AC5" w:rsidRPr="005225DC" w:rsidRDefault="00BE33B4" w:rsidP="005225DC">
      <w:pPr>
        <w:spacing w:after="0" w:line="360" w:lineRule="auto"/>
        <w:ind w:firstLine="708"/>
        <w:rPr>
          <w:sz w:val="22"/>
        </w:rPr>
      </w:pPr>
      <w:r w:rsidRPr="00BE33B4">
        <w:rPr>
          <w:sz w:val="22"/>
        </w:rPr>
        <w:tab/>
        <w:t xml:space="preserve">“Heráclito”, en </w:t>
      </w:r>
      <w:r w:rsidRPr="00BE33B4">
        <w:rPr>
          <w:i/>
          <w:iCs/>
          <w:sz w:val="22"/>
        </w:rPr>
        <w:t>Elogio de la sombra</w:t>
      </w:r>
      <w:r w:rsidRPr="00BE33B4">
        <w:rPr>
          <w:sz w:val="22"/>
        </w:rPr>
        <w:t xml:space="preserve"> (1993: IV 143) </w:t>
      </w:r>
      <w:r w:rsidR="00245AC5" w:rsidRPr="00BE33B4">
        <w:rPr>
          <w:sz w:val="22"/>
        </w:rPr>
        <w:t xml:space="preserve"> </w:t>
      </w:r>
    </w:p>
    <w:p w14:paraId="4A931219" w14:textId="77777777" w:rsidR="005225DC" w:rsidRDefault="005225DC" w:rsidP="00F44B07">
      <w:pPr>
        <w:spacing w:after="0" w:line="360" w:lineRule="auto"/>
        <w:ind w:firstLine="708"/>
        <w:rPr>
          <w:szCs w:val="24"/>
        </w:rPr>
      </w:pPr>
    </w:p>
    <w:p w14:paraId="5264363F" w14:textId="39C5E867" w:rsidR="00BE33B4" w:rsidRPr="00BE33B4" w:rsidRDefault="00BE33B4" w:rsidP="00F44B07">
      <w:pPr>
        <w:spacing w:after="0" w:line="360" w:lineRule="auto"/>
        <w:ind w:firstLine="708"/>
        <w:rPr>
          <w:szCs w:val="24"/>
        </w:rPr>
      </w:pPr>
      <w:r>
        <w:rPr>
          <w:szCs w:val="24"/>
        </w:rPr>
        <w:t>En la conjunción oximorónica o paradójica de “fatales e ilusorios”, reside el efecto borgiano, de lúdica metafísica, que le permite en un contraensayo propio</w:t>
      </w:r>
      <w:r w:rsidR="00281320">
        <w:rPr>
          <w:szCs w:val="24"/>
        </w:rPr>
        <w:t>, diecisiete años anterior al poema,</w:t>
      </w:r>
      <w:r>
        <w:rPr>
          <w:szCs w:val="24"/>
        </w:rPr>
        <w:t xml:space="preserve"> “refutar” el tiempo para luego declarar: </w:t>
      </w:r>
      <w:r>
        <w:rPr>
          <w:i/>
          <w:iCs/>
          <w:szCs w:val="24"/>
        </w:rPr>
        <w:t>“And yet, and yet</w:t>
      </w:r>
      <w:r>
        <w:rPr>
          <w:szCs w:val="24"/>
        </w:rPr>
        <w:t xml:space="preserve">… </w:t>
      </w:r>
      <w:r>
        <w:rPr>
          <w:rFonts w:cs="Times New Roman"/>
          <w:szCs w:val="24"/>
        </w:rPr>
        <w:t xml:space="preserve">[…] El tiempo es la sustancia de que estoy hecho. El tiempo es un río que me arrebata, peor yo soy el río […]. El mundo, desgraciadamente es real; yo, desgraciadamente, soy Borges” (1992: II 365). </w:t>
      </w:r>
    </w:p>
    <w:p w14:paraId="4B05BBED" w14:textId="45726A6E" w:rsidR="00BE33B4" w:rsidRDefault="00281320" w:rsidP="00F44B07">
      <w:pPr>
        <w:spacing w:after="0" w:line="360" w:lineRule="auto"/>
        <w:ind w:firstLine="708"/>
        <w:rPr>
          <w:szCs w:val="24"/>
        </w:rPr>
      </w:pPr>
      <w:r>
        <w:rPr>
          <w:szCs w:val="24"/>
        </w:rPr>
        <w:t>En Ki</w:t>
      </w:r>
      <w:r>
        <w:rPr>
          <w:szCs w:val="24"/>
          <w:lang w:val="sr-Latn-RS"/>
        </w:rPr>
        <w:t xml:space="preserve">š, </w:t>
      </w:r>
      <w:r>
        <w:rPr>
          <w:szCs w:val="24"/>
        </w:rPr>
        <w:t>el río, con todos sus afluentes, es la vida misma. Pero no la vida sucesiva de las reencarnaciones metafísicas, sino la concreta y particular que se verifica sobre el mapa:</w:t>
      </w:r>
    </w:p>
    <w:p w14:paraId="65323D83" w14:textId="77777777" w:rsidR="00281320" w:rsidRDefault="00281320" w:rsidP="00F44B07">
      <w:pPr>
        <w:spacing w:after="0" w:line="360" w:lineRule="auto"/>
        <w:ind w:firstLine="708"/>
        <w:rPr>
          <w:szCs w:val="24"/>
        </w:rPr>
      </w:pPr>
    </w:p>
    <w:p w14:paraId="4A048F5C" w14:textId="00974048" w:rsidR="00FF26DA" w:rsidRDefault="00FF26DA" w:rsidP="00216FE5">
      <w:pPr>
        <w:spacing w:after="0" w:line="360" w:lineRule="auto"/>
        <w:ind w:left="1134" w:firstLine="284"/>
        <w:rPr>
          <w:sz w:val="22"/>
        </w:rPr>
      </w:pPr>
      <w:r>
        <w:rPr>
          <w:sz w:val="22"/>
        </w:rPr>
        <w:t xml:space="preserve">De este gran río de su biografía, de esta novela familiar, parten afluentes, </w:t>
      </w:r>
      <w:r w:rsidR="00216FE5">
        <w:rPr>
          <w:sz w:val="22"/>
        </w:rPr>
        <w:t>y así, junto a su trabajo en una fábrica de azúcar, en los años 1943-1945, en una especie de resumen y crónica están descritos tanto los destinos de mi madre como el nuestro, el de sus hijos: tomos enteros reducidos a unos cuantos párrafos elocuentes (64).</w:t>
      </w:r>
      <w:r w:rsidR="00216FE5">
        <w:rPr>
          <w:rStyle w:val="Refdenotaalpie"/>
          <w:sz w:val="22"/>
        </w:rPr>
        <w:footnoteReference w:id="18"/>
      </w:r>
    </w:p>
    <w:p w14:paraId="47C52B37" w14:textId="77777777" w:rsidR="00216FE5" w:rsidRPr="00216FE5" w:rsidRDefault="00216FE5" w:rsidP="00216FE5">
      <w:pPr>
        <w:spacing w:after="0" w:line="360" w:lineRule="auto"/>
        <w:ind w:left="1134" w:firstLine="284"/>
        <w:rPr>
          <w:sz w:val="22"/>
        </w:rPr>
      </w:pPr>
    </w:p>
    <w:p w14:paraId="551C507A" w14:textId="4CD99D99" w:rsidR="00BB302B" w:rsidRPr="00281320" w:rsidRDefault="00281320" w:rsidP="00F44B07">
      <w:pPr>
        <w:spacing w:after="0" w:line="360" w:lineRule="auto"/>
        <w:ind w:firstLine="708"/>
        <w:rPr>
          <w:i/>
          <w:iCs/>
          <w:szCs w:val="24"/>
        </w:rPr>
      </w:pPr>
      <w:r w:rsidRPr="00281320">
        <w:rPr>
          <w:i/>
          <w:iCs/>
          <w:szCs w:val="24"/>
        </w:rPr>
        <w:t>Ars poetica</w:t>
      </w:r>
    </w:p>
    <w:p w14:paraId="2FE1FBC5" w14:textId="423C6E13" w:rsidR="00F44B07" w:rsidRPr="00953DD5" w:rsidRDefault="00281320" w:rsidP="00F44B07">
      <w:pPr>
        <w:spacing w:after="0" w:line="360" w:lineRule="auto"/>
        <w:ind w:firstLine="708"/>
      </w:pPr>
      <w:r>
        <w:t>Ambas enciclopedias, la de Borges y la de Ki</w:t>
      </w:r>
      <w:r>
        <w:rPr>
          <w:lang w:val="sr-Latn-RS"/>
        </w:rPr>
        <w:t>š</w:t>
      </w:r>
      <w:r>
        <w:t xml:space="preserve">, son, por último, un </w:t>
      </w:r>
      <w:r>
        <w:rPr>
          <w:i/>
          <w:iCs/>
        </w:rPr>
        <w:t xml:space="preserve">ars poética. </w:t>
      </w:r>
      <w:r>
        <w:t xml:space="preserve">En Borges, porque, junto con la biblioteca, resume su temática filosófica y sus procedimientos retóricos, simbólicos y argumentativos. </w:t>
      </w:r>
      <w:r w:rsidR="00953DD5">
        <w:t>En Ki</w:t>
      </w:r>
      <w:r w:rsidR="00953DD5">
        <w:rPr>
          <w:lang w:val="sr-Latn-RS"/>
        </w:rPr>
        <w:t>š</w:t>
      </w:r>
      <w:r w:rsidR="00953DD5">
        <w:t xml:space="preserve">, porque la biografía es el género central de su obra. No solo la autoficción de sus primeras novelas, sino las biografías profundamente políticas de </w:t>
      </w:r>
      <w:r w:rsidR="00953DD5">
        <w:rPr>
          <w:i/>
          <w:iCs/>
        </w:rPr>
        <w:t>Una tumba para Boris Davidovich</w:t>
      </w:r>
      <w:r w:rsidR="00953DD5">
        <w:t xml:space="preserve">, así como esta, </w:t>
      </w:r>
      <w:r w:rsidR="00953DD5">
        <w:lastRenderedPageBreak/>
        <w:t>no menos política ni democrática. En la fusión sin par entre el exterior subjetivo del sujeto biograf</w:t>
      </w:r>
      <w:r w:rsidR="00CD7A19">
        <w:t>i</w:t>
      </w:r>
      <w:r w:rsidR="00953DD5">
        <w:t xml:space="preserve">ado y el exterior material e histórico del mundo al que perteneció se cifra el estilo: no puede ser el de la síntesis borgiana, debe ser el dilatado de los pormenores (tantos y todos importantes) capaz de relacionar la materialidad del hombre, en forma lógica, con lo que se llama su alma. </w:t>
      </w:r>
    </w:p>
    <w:p w14:paraId="0CEAE2E7" w14:textId="77777777" w:rsidR="00953DD5" w:rsidRDefault="00953DD5" w:rsidP="00E975B8">
      <w:pPr>
        <w:rPr>
          <w:b/>
          <w:bCs/>
        </w:rPr>
      </w:pPr>
    </w:p>
    <w:p w14:paraId="00475FE6" w14:textId="77777777" w:rsidR="001B3649" w:rsidRDefault="001B3649" w:rsidP="009E4CBA">
      <w:pPr>
        <w:spacing w:after="0" w:line="276" w:lineRule="auto"/>
        <w:rPr>
          <w:b/>
          <w:bCs/>
        </w:rPr>
      </w:pPr>
      <w:r w:rsidRPr="00FF7825">
        <w:rPr>
          <w:b/>
          <w:bCs/>
        </w:rPr>
        <w:t>Bibliografía</w:t>
      </w:r>
    </w:p>
    <w:p w14:paraId="43A2D2E5" w14:textId="77777777" w:rsidR="001B3649" w:rsidRPr="002D7AA9" w:rsidRDefault="001B3649" w:rsidP="00720835">
      <w:pPr>
        <w:spacing w:line="360" w:lineRule="auto"/>
      </w:pPr>
      <w:r>
        <w:t xml:space="preserve">Borges, J. L. (1992-1993) </w:t>
      </w:r>
      <w:r>
        <w:rPr>
          <w:i/>
          <w:iCs/>
        </w:rPr>
        <w:t xml:space="preserve">Obras completas en cuatro tomos. </w:t>
      </w:r>
      <w:r>
        <w:t>Buenos Aires: Círculo de lectores</w:t>
      </w:r>
    </w:p>
    <w:p w14:paraId="58816418" w14:textId="77777777" w:rsidR="001B3649" w:rsidRDefault="001B3649" w:rsidP="00720835">
      <w:pPr>
        <w:spacing w:line="360" w:lineRule="auto"/>
      </w:pPr>
      <w:r>
        <w:t>Freixa Terradas, P. (2016) “Jorge Luis Borges en Danilo Ki</w:t>
      </w:r>
      <w:r>
        <w:rPr>
          <w:lang w:val="hr-HR"/>
        </w:rPr>
        <w:t>š o La lecci</w:t>
      </w:r>
      <w:r>
        <w:t xml:space="preserve">ón intertextual”. En </w:t>
      </w:r>
      <w:r w:rsidRPr="005D49E9">
        <w:rPr>
          <w:i/>
          <w:iCs/>
        </w:rPr>
        <w:t>Konteksty Kultury</w:t>
      </w:r>
      <w:r>
        <w:t xml:space="preserve"> 2016/13, z. 3, s. 260–270, </w:t>
      </w:r>
      <w:hyperlink r:id="rId8" w:history="1">
        <w:r w:rsidRPr="004F5890">
          <w:rPr>
            <w:rStyle w:val="Hipervnculo"/>
          </w:rPr>
          <w:t>www.ejournals.eu/Konteksty_Kultury</w:t>
        </w:r>
      </w:hyperlink>
    </w:p>
    <w:p w14:paraId="76E9E2CD" w14:textId="2CD38655" w:rsidR="001B3649" w:rsidRDefault="001B3649" w:rsidP="00720835">
      <w:pPr>
        <w:spacing w:line="360" w:lineRule="auto"/>
      </w:pPr>
      <w:r>
        <w:t xml:space="preserve">Kiš, D. (2007) </w:t>
      </w:r>
      <w:r>
        <w:rPr>
          <w:i/>
          <w:iCs/>
        </w:rPr>
        <w:t xml:space="preserve">Una tumba para </w:t>
      </w:r>
      <w:r w:rsidR="00216FE5">
        <w:rPr>
          <w:i/>
          <w:iCs/>
        </w:rPr>
        <w:t>Boris</w:t>
      </w:r>
      <w:r>
        <w:rPr>
          <w:i/>
          <w:iCs/>
        </w:rPr>
        <w:t xml:space="preserve"> Davidovich. </w:t>
      </w:r>
      <w:r>
        <w:t>Barcelona: Acantilado.</w:t>
      </w:r>
    </w:p>
    <w:p w14:paraId="05AEDCDE" w14:textId="77777777" w:rsidR="001B3649" w:rsidRDefault="001B3649" w:rsidP="00720835">
      <w:pPr>
        <w:spacing w:line="360" w:lineRule="auto"/>
        <w:ind w:firstLine="708"/>
      </w:pPr>
      <w:r>
        <w:t xml:space="preserve">(1979) </w:t>
      </w:r>
      <w:r w:rsidRPr="00A14ED8">
        <w:rPr>
          <w:i/>
          <w:iCs/>
        </w:rPr>
        <w:t>Čas anatomije</w:t>
      </w:r>
      <w:r>
        <w:t>. Beograd: Nolit.</w:t>
      </w:r>
    </w:p>
    <w:p w14:paraId="00034C94" w14:textId="77777777" w:rsidR="00216FE5" w:rsidRDefault="00DF5CE0" w:rsidP="00720835">
      <w:pPr>
        <w:spacing w:line="360" w:lineRule="auto"/>
        <w:rPr>
          <w:lang w:val="sr-Cyrl-RS"/>
        </w:rPr>
      </w:pPr>
      <w:r>
        <w:rPr>
          <w:lang w:val="sr-Latn-RS"/>
        </w:rPr>
        <w:t>K</w:t>
      </w:r>
      <w:r>
        <w:rPr>
          <w:lang w:val="sr-Cyrl-RS"/>
        </w:rPr>
        <w:t>иш</w:t>
      </w:r>
      <w:r>
        <w:rPr>
          <w:lang w:val="ru-RU"/>
        </w:rPr>
        <w:t xml:space="preserve">, Д. </w:t>
      </w:r>
      <w:r w:rsidR="001B3649">
        <w:rPr>
          <w:lang w:val="sr-Cyrl-RS"/>
        </w:rPr>
        <w:t xml:space="preserve">(1997) </w:t>
      </w:r>
      <w:r w:rsidR="001B3649" w:rsidRPr="00AC55B7">
        <w:rPr>
          <w:i/>
          <w:iCs/>
          <w:lang w:val="sr-Cyrl-RS"/>
        </w:rPr>
        <w:t>Енциклопелија мртвих</w:t>
      </w:r>
      <w:r w:rsidR="001B3649" w:rsidRPr="00AC55B7">
        <w:rPr>
          <w:lang w:val="sr-Cyrl-RS"/>
        </w:rPr>
        <w:t>. Београд: Књига-комерц. (Библиотека Књижество, књ. 32).</w:t>
      </w:r>
      <w:r w:rsidR="001B3649" w:rsidRPr="000D2311">
        <w:rPr>
          <w:lang w:val="sr-Cyrl-RS"/>
        </w:rPr>
        <w:t xml:space="preserve"> </w:t>
      </w:r>
      <w:r w:rsidR="001B3649" w:rsidRPr="00AC55B7">
        <w:rPr>
          <w:lang w:val="sr-Cyrl-RS"/>
        </w:rPr>
        <w:t>Предговор Михајло Пантић.</w:t>
      </w:r>
    </w:p>
    <w:p w14:paraId="5E69BECD" w14:textId="538B7F75" w:rsidR="000E7A74" w:rsidRPr="000E7A74" w:rsidRDefault="000E7A74" w:rsidP="00720835">
      <w:pPr>
        <w:spacing w:line="360" w:lineRule="auto"/>
      </w:pPr>
      <w:r>
        <w:t xml:space="preserve">Panesi, J. (1997) “Mujeres: la ficción de Borges”. En </w:t>
      </w:r>
      <w:r>
        <w:rPr>
          <w:i/>
          <w:iCs/>
        </w:rPr>
        <w:t xml:space="preserve">Décimo encuentro de escritores Dr. Roberto. </w:t>
      </w:r>
      <w:r>
        <w:t>Buenos Aires: Fundación Roberto Noble.</w:t>
      </w:r>
    </w:p>
    <w:p w14:paraId="07B0A354" w14:textId="4BED01C5" w:rsidR="001B3649" w:rsidRPr="00216FE5" w:rsidRDefault="001B3649" w:rsidP="00720835">
      <w:pPr>
        <w:spacing w:line="360" w:lineRule="auto"/>
        <w:rPr>
          <w:lang w:val="sr-Cyrl-RS"/>
        </w:rPr>
      </w:pPr>
      <w:r w:rsidRPr="00583F61">
        <w:rPr>
          <w:lang w:val="sr-Cyrl-RS"/>
        </w:rPr>
        <w:t>Š</w:t>
      </w:r>
      <w:r w:rsidRPr="00583F61">
        <w:t>tajnfeld</w:t>
      </w:r>
      <w:r w:rsidRPr="00216FE5">
        <w:rPr>
          <w:lang w:val="sr-Cyrl-RS"/>
        </w:rPr>
        <w:t xml:space="preserve">, </w:t>
      </w:r>
      <w:r w:rsidRPr="00583F61">
        <w:t>S</w:t>
      </w:r>
      <w:r w:rsidRPr="00216FE5">
        <w:rPr>
          <w:lang w:val="sr-Cyrl-RS"/>
        </w:rPr>
        <w:t xml:space="preserve">., </w:t>
      </w:r>
      <w:r w:rsidRPr="00583F61">
        <w:t>Asbun</w:t>
      </w:r>
      <w:r w:rsidRPr="00583F61">
        <w:rPr>
          <w:lang w:val="sr-Cyrl-RS"/>
        </w:rPr>
        <w:t xml:space="preserve"> </w:t>
      </w:r>
      <w:r w:rsidRPr="00583F61">
        <w:t>Bojalil</w:t>
      </w:r>
      <w:r w:rsidRPr="00216FE5">
        <w:rPr>
          <w:lang w:val="sr-Cyrl-RS"/>
        </w:rPr>
        <w:t xml:space="preserve">, </w:t>
      </w:r>
      <w:r w:rsidRPr="00583F61">
        <w:t>J</w:t>
      </w:r>
      <w:r w:rsidRPr="00216FE5">
        <w:rPr>
          <w:lang w:val="sr-Cyrl-RS"/>
        </w:rPr>
        <w:t xml:space="preserve">. </w:t>
      </w:r>
      <w:r w:rsidRPr="00583F61">
        <w:t>y</w:t>
      </w:r>
      <w:r w:rsidRPr="00216FE5">
        <w:rPr>
          <w:lang w:val="sr-Cyrl-RS"/>
        </w:rPr>
        <w:t xml:space="preserve"> </w:t>
      </w:r>
      <w:r w:rsidRPr="00583F61">
        <w:t>R</w:t>
      </w:r>
      <w:r w:rsidRPr="00912062">
        <w:t>omano</w:t>
      </w:r>
      <w:r w:rsidRPr="00583F61">
        <w:rPr>
          <w:lang w:val="sr-Cyrl-RS"/>
        </w:rPr>
        <w:t xml:space="preserve"> </w:t>
      </w:r>
      <w:r w:rsidRPr="00912062">
        <w:t>Hurtado</w:t>
      </w:r>
      <w:r w:rsidRPr="00216FE5">
        <w:rPr>
          <w:lang w:val="sr-Cyrl-RS"/>
        </w:rPr>
        <w:t xml:space="preserve">, </w:t>
      </w:r>
      <w:r>
        <w:t>B</w:t>
      </w:r>
      <w:r w:rsidRPr="00216FE5">
        <w:rPr>
          <w:lang w:val="sr-Cyrl-RS"/>
        </w:rPr>
        <w:t>.</w:t>
      </w:r>
      <w:r w:rsidRPr="00583F61">
        <w:rPr>
          <w:lang w:val="sr-Cyrl-RS"/>
        </w:rPr>
        <w:t xml:space="preserve"> (2019) “</w:t>
      </w:r>
      <w:r>
        <w:t>Homo</w:t>
      </w:r>
      <w:r w:rsidRPr="00583F61">
        <w:rPr>
          <w:lang w:val="sr-Cyrl-RS"/>
        </w:rPr>
        <w:t xml:space="preserve"> </w:t>
      </w:r>
      <w:r>
        <w:t>poeticus</w:t>
      </w:r>
      <w:r w:rsidRPr="00583F61">
        <w:rPr>
          <w:lang w:val="sr-Cyrl-RS"/>
        </w:rPr>
        <w:t xml:space="preserve"> </w:t>
      </w:r>
      <w:r>
        <w:t>y</w:t>
      </w:r>
      <w:r w:rsidRPr="00583F61">
        <w:rPr>
          <w:lang w:val="sr-Cyrl-RS"/>
        </w:rPr>
        <w:t xml:space="preserve"> </w:t>
      </w:r>
      <w:r>
        <w:t>homo</w:t>
      </w:r>
      <w:r w:rsidRPr="00583F61">
        <w:rPr>
          <w:lang w:val="sr-Cyrl-RS"/>
        </w:rPr>
        <w:t xml:space="preserve"> </w:t>
      </w:r>
      <w:r>
        <w:t>politicus</w:t>
      </w:r>
      <w:r w:rsidRPr="00583F61">
        <w:rPr>
          <w:lang w:val="sr-Cyrl-RS"/>
        </w:rPr>
        <w:t xml:space="preserve"> </w:t>
      </w:r>
      <w:r>
        <w:t>seg</w:t>
      </w:r>
      <w:r w:rsidRPr="00583F61">
        <w:rPr>
          <w:lang w:val="sr-Cyrl-RS"/>
        </w:rPr>
        <w:t>ú</w:t>
      </w:r>
      <w:r>
        <w:t>n</w:t>
      </w:r>
      <w:r w:rsidRPr="00583F61">
        <w:rPr>
          <w:lang w:val="sr-Cyrl-RS"/>
        </w:rPr>
        <w:t xml:space="preserve"> </w:t>
      </w:r>
      <w:r>
        <w:t>Danilo</w:t>
      </w:r>
      <w:r w:rsidRPr="00583F61">
        <w:rPr>
          <w:lang w:val="sr-Cyrl-RS"/>
        </w:rPr>
        <w:t xml:space="preserve"> </w:t>
      </w:r>
      <w:r>
        <w:t>Ki</w:t>
      </w:r>
      <w:r w:rsidRPr="00583F61">
        <w:rPr>
          <w:lang w:val="sr-Cyrl-RS"/>
        </w:rPr>
        <w:t xml:space="preserve">š </w:t>
      </w:r>
      <w:r>
        <w:t>y</w:t>
      </w:r>
      <w:r w:rsidRPr="00583F61">
        <w:rPr>
          <w:lang w:val="sr-Cyrl-RS"/>
        </w:rPr>
        <w:t xml:space="preserve"> </w:t>
      </w:r>
      <w:r>
        <w:t>Jorge</w:t>
      </w:r>
      <w:r w:rsidRPr="00583F61">
        <w:rPr>
          <w:lang w:val="sr-Cyrl-RS"/>
        </w:rPr>
        <w:t xml:space="preserve"> </w:t>
      </w:r>
      <w:r>
        <w:t>Luis</w:t>
      </w:r>
      <w:r w:rsidRPr="00583F61">
        <w:rPr>
          <w:lang w:val="sr-Cyrl-RS"/>
        </w:rPr>
        <w:t xml:space="preserve"> </w:t>
      </w:r>
      <w:r>
        <w:t>Borges</w:t>
      </w:r>
      <w:r w:rsidRPr="00583F61">
        <w:rPr>
          <w:lang w:val="sr-Cyrl-RS"/>
        </w:rPr>
        <w:t xml:space="preserve">”. </w:t>
      </w:r>
      <w:r>
        <w:t xml:space="preserve">En </w:t>
      </w:r>
      <w:r w:rsidRPr="00583F61">
        <w:rPr>
          <w:i/>
          <w:iCs/>
        </w:rPr>
        <w:t>Repositorio Institucional Universidad Autónoma de México</w:t>
      </w:r>
      <w:r>
        <w:t xml:space="preserve">, </w:t>
      </w:r>
      <w:hyperlink r:id="rId9" w:history="1">
        <w:r w:rsidRPr="004F5890">
          <w:rPr>
            <w:rStyle w:val="Hipervnculo"/>
          </w:rPr>
          <w:t>http://ri.uaemex.mx/handle/20.500.11799/105067</w:t>
        </w:r>
      </w:hyperlink>
    </w:p>
    <w:p w14:paraId="1E7684E4" w14:textId="77777777" w:rsidR="001B3649" w:rsidRDefault="001B3649" w:rsidP="001B3649"/>
    <w:p w14:paraId="7E813967" w14:textId="1E048D79" w:rsidR="00720835" w:rsidRPr="00210379" w:rsidRDefault="00720835" w:rsidP="00720835">
      <w:pPr>
        <w:rPr>
          <w:b/>
        </w:rPr>
      </w:pPr>
    </w:p>
    <w:sectPr w:rsidR="00720835" w:rsidRPr="00210379">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85B42" w14:textId="77777777" w:rsidR="005C3A45" w:rsidRDefault="005C3A45" w:rsidP="00AC69C4">
      <w:pPr>
        <w:spacing w:after="0" w:line="240" w:lineRule="auto"/>
      </w:pPr>
      <w:r>
        <w:separator/>
      </w:r>
    </w:p>
  </w:endnote>
  <w:endnote w:type="continuationSeparator" w:id="0">
    <w:p w14:paraId="1C785FBB" w14:textId="77777777" w:rsidR="005C3A45" w:rsidRDefault="005C3A45" w:rsidP="00AC6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lyphLess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8CFF4" w14:textId="77777777" w:rsidR="00AC69C4" w:rsidRDefault="00AC69C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0363"/>
      <w:docPartObj>
        <w:docPartGallery w:val="Page Numbers (Bottom of Page)"/>
        <w:docPartUnique/>
      </w:docPartObj>
    </w:sdtPr>
    <w:sdtContent>
      <w:p w14:paraId="3BC20F40" w14:textId="77777777" w:rsidR="00AC69C4" w:rsidRDefault="00AC69C4">
        <w:pPr>
          <w:pStyle w:val="Piedepgina"/>
          <w:jc w:val="right"/>
        </w:pPr>
        <w:r>
          <w:fldChar w:fldCharType="begin"/>
        </w:r>
        <w:r>
          <w:instrText>PAGE   \* MERGEFORMAT</w:instrText>
        </w:r>
        <w:r>
          <w:fldChar w:fldCharType="separate"/>
        </w:r>
        <w:r w:rsidR="00B17F56">
          <w:rPr>
            <w:noProof/>
          </w:rPr>
          <w:t>1</w:t>
        </w:r>
        <w:r>
          <w:fldChar w:fldCharType="end"/>
        </w:r>
      </w:p>
    </w:sdtContent>
  </w:sdt>
  <w:p w14:paraId="1ECFCF90" w14:textId="77777777" w:rsidR="00AC69C4" w:rsidRDefault="00AC69C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4360" w14:textId="77777777" w:rsidR="00AC69C4" w:rsidRDefault="00AC69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BB6AA" w14:textId="77777777" w:rsidR="005C3A45" w:rsidRDefault="005C3A45" w:rsidP="00AC69C4">
      <w:pPr>
        <w:spacing w:after="0" w:line="240" w:lineRule="auto"/>
      </w:pPr>
      <w:r>
        <w:separator/>
      </w:r>
    </w:p>
  </w:footnote>
  <w:footnote w:type="continuationSeparator" w:id="0">
    <w:p w14:paraId="70AC0C83" w14:textId="77777777" w:rsidR="005C3A45" w:rsidRDefault="005C3A45" w:rsidP="00AC69C4">
      <w:pPr>
        <w:spacing w:after="0" w:line="240" w:lineRule="auto"/>
      </w:pPr>
      <w:r>
        <w:continuationSeparator/>
      </w:r>
    </w:p>
  </w:footnote>
  <w:footnote w:id="1">
    <w:p w14:paraId="1E600F9F" w14:textId="336D2D7B" w:rsidR="00E11628" w:rsidRDefault="00E11628">
      <w:pPr>
        <w:pStyle w:val="Textonotapie"/>
      </w:pPr>
      <w:r>
        <w:rPr>
          <w:rStyle w:val="Refdenotaalpie"/>
        </w:rPr>
        <w:footnoteRef/>
      </w:r>
      <w:r>
        <w:t xml:space="preserve"> </w:t>
      </w:r>
      <w:r w:rsidR="004C5F92">
        <w:rPr>
          <w:i/>
          <w:iCs/>
        </w:rPr>
        <w:t xml:space="preserve">Ficciones </w:t>
      </w:r>
      <w:r w:rsidR="004C5F92">
        <w:t xml:space="preserve">es el primer texto borgiano traducido al francés, publicado por Gallimard en 1951. Las </w:t>
      </w:r>
      <w:r w:rsidR="004C5F92" w:rsidRPr="004C5F92">
        <w:rPr>
          <w:bCs/>
        </w:rPr>
        <w:t>primeras</w:t>
      </w:r>
      <w:r w:rsidR="004C5F92">
        <w:rPr>
          <w:bCs/>
        </w:rPr>
        <w:t xml:space="preserve"> traducciones </w:t>
      </w:r>
      <w:r w:rsidR="004C5F92" w:rsidRPr="004C5F92">
        <w:rPr>
          <w:bCs/>
        </w:rPr>
        <w:t xml:space="preserve">serbo-croatas </w:t>
      </w:r>
      <w:r w:rsidR="004C5F92">
        <w:rPr>
          <w:bCs/>
        </w:rPr>
        <w:t>son</w:t>
      </w:r>
      <w:r w:rsidR="004C5F92" w:rsidRPr="004C5F92">
        <w:rPr>
          <w:bCs/>
        </w:rPr>
        <w:t xml:space="preserve"> </w:t>
      </w:r>
      <w:r w:rsidR="004C5F92">
        <w:rPr>
          <w:bCs/>
        </w:rPr>
        <w:t xml:space="preserve">de </w:t>
      </w:r>
      <w:r w:rsidR="004C5F92" w:rsidRPr="004C5F92">
        <w:rPr>
          <w:bCs/>
        </w:rPr>
        <w:t>1963 y 1976</w:t>
      </w:r>
      <w:r w:rsidR="004C5F92">
        <w:rPr>
          <w:bCs/>
        </w:rPr>
        <w:t xml:space="preserve">. </w:t>
      </w:r>
      <w:r w:rsidR="00D25619">
        <w:t xml:space="preserve">En </w:t>
      </w:r>
      <w:r w:rsidR="006C20B7">
        <w:rPr>
          <w:iCs/>
        </w:rPr>
        <w:t xml:space="preserve">Belgrado, en 1963, </w:t>
      </w:r>
      <w:r w:rsidR="004C5F92">
        <w:rPr>
          <w:iCs/>
        </w:rPr>
        <w:t xml:space="preserve">aparece un volumen titulado </w:t>
      </w:r>
      <w:r w:rsidR="006C20B7">
        <w:rPr>
          <w:i/>
        </w:rPr>
        <w:t>Ficciones</w:t>
      </w:r>
      <w:r w:rsidR="006C20B7">
        <w:rPr>
          <w:iCs/>
        </w:rPr>
        <w:t>,</w:t>
      </w:r>
      <w:r w:rsidR="006C20B7">
        <w:rPr>
          <w:i/>
        </w:rPr>
        <w:t xml:space="preserve"> </w:t>
      </w:r>
      <w:r w:rsidR="006C20B7">
        <w:rPr>
          <w:iCs/>
        </w:rPr>
        <w:t xml:space="preserve">que contiene casi íntegro el libro homónimo (excepto los últimos tres cuentos de </w:t>
      </w:r>
      <w:r w:rsidR="006C20B7">
        <w:rPr>
          <w:i/>
        </w:rPr>
        <w:t>Artificios</w:t>
      </w:r>
      <w:r w:rsidR="006C20B7">
        <w:rPr>
          <w:iCs/>
        </w:rPr>
        <w:t xml:space="preserve">) e </w:t>
      </w:r>
      <w:r w:rsidR="006C20B7">
        <w:rPr>
          <w:i/>
        </w:rPr>
        <w:t>Historia universal de la infamia.</w:t>
      </w:r>
      <w:r w:rsidR="006C20B7">
        <w:t xml:space="preserve"> E</w:t>
      </w:r>
      <w:r w:rsidR="00D25619">
        <w:t>n 19</w:t>
      </w:r>
      <w:r>
        <w:t>76</w:t>
      </w:r>
      <w:r w:rsidR="00D25619">
        <w:t xml:space="preserve">, </w:t>
      </w:r>
      <w:r w:rsidR="006C20B7">
        <w:t xml:space="preserve">se publica </w:t>
      </w:r>
      <w:r w:rsidR="00D25619">
        <w:t xml:space="preserve">en </w:t>
      </w:r>
      <w:r w:rsidR="0024585A">
        <w:t>Zagreb</w:t>
      </w:r>
      <w:r w:rsidR="00D25619">
        <w:t xml:space="preserve">, </w:t>
      </w:r>
      <w:r w:rsidR="00D25619">
        <w:rPr>
          <w:i/>
          <w:iCs/>
        </w:rPr>
        <w:t xml:space="preserve">Poemas y Otras inquisiciones, </w:t>
      </w:r>
      <w:r w:rsidR="00D25619">
        <w:t xml:space="preserve">que contiene una antología con selección de poemas de seis libros </w:t>
      </w:r>
      <w:r w:rsidR="0024585A">
        <w:t xml:space="preserve">(desde </w:t>
      </w:r>
      <w:r w:rsidR="0024585A">
        <w:rPr>
          <w:i/>
          <w:iCs/>
        </w:rPr>
        <w:t xml:space="preserve">Fervor de Buenos Aires </w:t>
      </w:r>
      <w:r w:rsidR="0024585A">
        <w:t xml:space="preserve">hasta </w:t>
      </w:r>
      <w:r w:rsidR="0024585A">
        <w:rPr>
          <w:i/>
          <w:iCs/>
        </w:rPr>
        <w:t xml:space="preserve">El </w:t>
      </w:r>
      <w:r w:rsidR="0024585A" w:rsidRPr="0024585A">
        <w:rPr>
          <w:i/>
          <w:iCs/>
        </w:rPr>
        <w:t>hacedor</w:t>
      </w:r>
      <w:r w:rsidR="0024585A">
        <w:t xml:space="preserve">) </w:t>
      </w:r>
      <w:r w:rsidR="00D25619" w:rsidRPr="0024585A">
        <w:t>y</w:t>
      </w:r>
      <w:r w:rsidR="00D25619">
        <w:t xml:space="preserve"> tres ensayos de </w:t>
      </w:r>
      <w:r w:rsidR="00D25619">
        <w:rPr>
          <w:i/>
        </w:rPr>
        <w:t xml:space="preserve">Otras inquisiciones. </w:t>
      </w:r>
    </w:p>
  </w:footnote>
  <w:footnote w:id="2">
    <w:p w14:paraId="5DD6290F" w14:textId="792BA371" w:rsidR="00A33EC6" w:rsidRPr="00A33EC6" w:rsidRDefault="00A33EC6">
      <w:pPr>
        <w:pStyle w:val="Textonotapie"/>
      </w:pPr>
      <w:r>
        <w:rPr>
          <w:rStyle w:val="Refdenotaalpie"/>
        </w:rPr>
        <w:footnoteRef/>
      </w:r>
      <w:r>
        <w:t xml:space="preserve"> </w:t>
      </w:r>
      <w:r>
        <w:rPr>
          <w:lang w:val="sr-Latn-RS"/>
        </w:rPr>
        <w:t>Mi traducci</w:t>
      </w:r>
      <w:r>
        <w:t>ón de todas las citas del serbio.</w:t>
      </w:r>
    </w:p>
  </w:footnote>
  <w:footnote w:id="3">
    <w:p w14:paraId="1C8AEFE0" w14:textId="40C5E603" w:rsidR="007814AA" w:rsidRPr="007814AA" w:rsidRDefault="007814AA">
      <w:pPr>
        <w:pStyle w:val="Textonotapie"/>
      </w:pPr>
      <w:r>
        <w:rPr>
          <w:rStyle w:val="Refdenotaalpie"/>
        </w:rPr>
        <w:footnoteRef/>
      </w:r>
      <w:r>
        <w:t xml:space="preserve"> En el cuento, que da título al libro, una </w:t>
      </w:r>
      <w:r w:rsidR="004F1670">
        <w:t>académica yugoslava</w:t>
      </w:r>
      <w:r>
        <w:t xml:space="preserve"> encuentra </w:t>
      </w:r>
      <w:r w:rsidR="004F1670">
        <w:t xml:space="preserve">en Suecia </w:t>
      </w:r>
      <w:r>
        <w:t xml:space="preserve">la mítica </w:t>
      </w:r>
      <w:r>
        <w:rPr>
          <w:i/>
          <w:iCs/>
        </w:rPr>
        <w:t>Enciclopedia de los muertos</w:t>
      </w:r>
      <w:r>
        <w:t>, donde se narra la vida de los hombres comunes (la condición para figurar es que no tengan entrada en ninguna otra enciclopedia)</w:t>
      </w:r>
      <w:r w:rsidR="004F1670">
        <w:t xml:space="preserve">. </w:t>
      </w:r>
      <w:r w:rsidR="00281320">
        <w:t xml:space="preserve">Corre hasta la sala que corresponde a la letra que busca (una sala por letra contiene la </w:t>
      </w:r>
      <w:r w:rsidR="002F257D">
        <w:t>e</w:t>
      </w:r>
      <w:r w:rsidR="00281320">
        <w:t>nciclopedia) y</w:t>
      </w:r>
      <w:r w:rsidR="002F257D">
        <w:t>,</w:t>
      </w:r>
      <w:r w:rsidR="00281320">
        <w:t xml:space="preserve"> a</w:t>
      </w:r>
      <w:r w:rsidR="004F1670">
        <w:t xml:space="preserve"> la débil luz de una lámpara, l</w:t>
      </w:r>
      <w:r>
        <w:t xml:space="preserve">ee </w:t>
      </w:r>
      <w:r w:rsidR="004F1670">
        <w:t xml:space="preserve">durante toda una noche, de un tomo encadenado, la biografía de su padre. </w:t>
      </w:r>
      <w:r>
        <w:t xml:space="preserve"> </w:t>
      </w:r>
    </w:p>
  </w:footnote>
  <w:footnote w:id="4">
    <w:p w14:paraId="64FDDD8D" w14:textId="18456BEA" w:rsidR="00C01943" w:rsidRPr="00596439" w:rsidRDefault="00C01943" w:rsidP="00C01943">
      <w:pPr>
        <w:pStyle w:val="Textonotapie"/>
        <w:rPr>
          <w:lang w:val="sr-Cyrl-RS"/>
        </w:rPr>
      </w:pPr>
      <w:r>
        <w:rPr>
          <w:rStyle w:val="Refdenotaalpie"/>
        </w:rPr>
        <w:footnoteRef/>
      </w:r>
      <w:r w:rsidRPr="00596439">
        <w:rPr>
          <w:lang w:val="ru-RU"/>
        </w:rPr>
        <w:t xml:space="preserve"> </w:t>
      </w:r>
      <w:r w:rsidR="00596439">
        <w:rPr>
          <w:lang w:val="sr-Cyrl-RS"/>
        </w:rPr>
        <w:t xml:space="preserve">Сам живела у том далеком свету као у сну </w:t>
      </w:r>
      <w:r w:rsidR="00596439" w:rsidRPr="00216FE5">
        <w:rPr>
          <w:rFonts w:asciiTheme="minorHAnsi" w:hAnsiTheme="minorHAnsi" w:cs="GlyphLessFont"/>
          <w:sz w:val="18"/>
          <w:szCs w:val="18"/>
          <w:lang w:val="sr-Cyrl-RS"/>
        </w:rPr>
        <w:t>(Киш</w:t>
      </w:r>
      <w:r w:rsidR="00596439" w:rsidRPr="00596439">
        <w:rPr>
          <w:rFonts w:asciiTheme="minorHAnsi" w:hAnsiTheme="minorHAnsi" w:cs="GlyphLessFont"/>
          <w:sz w:val="18"/>
          <w:szCs w:val="18"/>
          <w:lang w:val="ru-RU"/>
        </w:rPr>
        <w:t>, 1997: 5</w:t>
      </w:r>
      <w:r w:rsidR="00596439">
        <w:rPr>
          <w:rFonts w:asciiTheme="minorHAnsi" w:hAnsiTheme="minorHAnsi" w:cs="GlyphLessFont"/>
          <w:sz w:val="18"/>
          <w:szCs w:val="18"/>
          <w:lang w:val="ru-RU"/>
        </w:rPr>
        <w:t>2</w:t>
      </w:r>
      <w:r w:rsidR="00596439" w:rsidRPr="00596439">
        <w:rPr>
          <w:rFonts w:asciiTheme="minorHAnsi" w:hAnsiTheme="minorHAnsi" w:cs="GlyphLessFont"/>
          <w:sz w:val="18"/>
          <w:szCs w:val="18"/>
          <w:lang w:val="ru-RU"/>
        </w:rPr>
        <w:t>)</w:t>
      </w:r>
      <w:r w:rsidR="00596439">
        <w:rPr>
          <w:rFonts w:asciiTheme="minorHAnsi" w:hAnsiTheme="minorHAnsi" w:cs="GlyphLessFont"/>
          <w:sz w:val="18"/>
          <w:szCs w:val="18"/>
          <w:lang w:val="ru-RU"/>
        </w:rPr>
        <w:t>.</w:t>
      </w:r>
    </w:p>
  </w:footnote>
  <w:footnote w:id="5">
    <w:p w14:paraId="259F4A3A" w14:textId="3A49B65E" w:rsidR="00675593" w:rsidRPr="00CB27D3" w:rsidRDefault="00675593">
      <w:pPr>
        <w:pStyle w:val="Textonotapie"/>
        <w:rPr>
          <w:rFonts w:asciiTheme="minorHAnsi" w:hAnsiTheme="minorHAnsi"/>
          <w:lang w:val="ru-RU"/>
        </w:rPr>
      </w:pPr>
      <w:r w:rsidRPr="00216FE5">
        <w:rPr>
          <w:rStyle w:val="Refdenotaalpie"/>
        </w:rPr>
        <w:footnoteRef/>
      </w:r>
      <w:r w:rsidRPr="00596439">
        <w:rPr>
          <w:lang w:val="sr-Cyrl-RS"/>
        </w:rPr>
        <w:t xml:space="preserve"> </w:t>
      </w:r>
      <w:r w:rsidR="00DF5CE0" w:rsidRPr="00216FE5">
        <w:rPr>
          <w:rFonts w:asciiTheme="minorHAnsi" w:hAnsiTheme="minorHAnsi" w:cs="GlyphLessFont"/>
          <w:sz w:val="18"/>
          <w:szCs w:val="18"/>
          <w:lang w:val="sr-Cyrl-RS"/>
        </w:rPr>
        <w:t>Ј</w:t>
      </w:r>
      <w:r w:rsidRPr="00216FE5">
        <w:rPr>
          <w:rFonts w:ascii="GlyphLessFont" w:hAnsi="GlyphLessFont" w:cs="GlyphLessFont"/>
          <w:sz w:val="18"/>
          <w:szCs w:val="18"/>
        </w:rPr>
        <w:t>ep</w:t>
      </w:r>
      <w:r w:rsidRPr="00596439">
        <w:rPr>
          <w:rFonts w:ascii="GlyphLessFont" w:hAnsi="GlyphLessFont" w:cs="GlyphLessFont"/>
          <w:sz w:val="18"/>
          <w:szCs w:val="18"/>
          <w:lang w:val="sr-Cyrl-RS"/>
        </w:rPr>
        <w:t xml:space="preserve"> </w:t>
      </w:r>
      <w:r w:rsidR="00DF5CE0" w:rsidRPr="00216FE5">
        <w:rPr>
          <w:rFonts w:asciiTheme="minorHAnsi" w:hAnsiTheme="minorHAnsi" w:cs="GlyphLessFont"/>
          <w:i/>
          <w:iCs/>
          <w:sz w:val="18"/>
          <w:szCs w:val="18"/>
          <w:lang w:val="sr-Cyrl-RS"/>
        </w:rPr>
        <w:t>т</w:t>
      </w:r>
      <w:r w:rsidRPr="00216FE5">
        <w:rPr>
          <w:rFonts w:ascii="GlyphLessFont" w:hAnsi="GlyphLessFont" w:cs="GlyphLessFont"/>
          <w:i/>
          <w:iCs/>
          <w:sz w:val="18"/>
          <w:szCs w:val="18"/>
        </w:rPr>
        <w:t>a</w:t>
      </w:r>
      <w:r w:rsidR="00DF5CE0" w:rsidRPr="00216FE5">
        <w:rPr>
          <w:rFonts w:asciiTheme="minorHAnsi" w:hAnsiTheme="minorHAnsi" w:cs="GlyphLessFont"/>
          <w:i/>
          <w:iCs/>
          <w:sz w:val="18"/>
          <w:szCs w:val="18"/>
          <w:lang w:val="sr-Cyrl-RS"/>
        </w:rPr>
        <w:t>м</w:t>
      </w:r>
      <w:r w:rsidRPr="00216FE5">
        <w:rPr>
          <w:rFonts w:ascii="GlyphLessFont" w:hAnsi="GlyphLessFont" w:cs="GlyphLessFont"/>
          <w:i/>
          <w:iCs/>
          <w:sz w:val="18"/>
          <w:szCs w:val="18"/>
        </w:rPr>
        <w:t>o</w:t>
      </w:r>
      <w:r w:rsidRPr="00596439">
        <w:rPr>
          <w:rFonts w:ascii="GlyphLessFont" w:hAnsi="GlyphLessFont" w:cs="GlyphLessFont"/>
          <w:sz w:val="18"/>
          <w:szCs w:val="18"/>
          <w:lang w:val="sr-Cyrl-RS"/>
        </w:rPr>
        <w:t xml:space="preserve"> </w:t>
      </w:r>
      <w:r w:rsidRPr="00216FE5">
        <w:rPr>
          <w:rFonts w:ascii="GlyphLessFont" w:hAnsi="GlyphLessFont" w:cs="GlyphLessFont"/>
          <w:sz w:val="18"/>
          <w:szCs w:val="18"/>
        </w:rPr>
        <w:t>je</w:t>
      </w:r>
      <w:r w:rsidRPr="00596439">
        <w:rPr>
          <w:rFonts w:ascii="GlyphLessFont" w:hAnsi="GlyphLessFont" w:cs="GlyphLessFont"/>
          <w:sz w:val="18"/>
          <w:szCs w:val="18"/>
          <w:lang w:val="sr-Cyrl-RS"/>
        </w:rPr>
        <w:t xml:space="preserve"> </w:t>
      </w:r>
      <w:r w:rsidRPr="00216FE5">
        <w:rPr>
          <w:rFonts w:ascii="GlyphLessFont" w:hAnsi="GlyphLessFont" w:cs="GlyphLessFont"/>
          <w:sz w:val="18"/>
          <w:szCs w:val="18"/>
        </w:rPr>
        <w:t>c</w:t>
      </w:r>
      <w:r w:rsidR="00DF5CE0" w:rsidRPr="00216FE5">
        <w:rPr>
          <w:rFonts w:asciiTheme="minorHAnsi" w:hAnsiTheme="minorHAnsi" w:cs="GlyphLessFont"/>
          <w:sz w:val="18"/>
          <w:szCs w:val="18"/>
          <w:lang w:val="sr-Cyrl-RS"/>
        </w:rPr>
        <w:t>в</w:t>
      </w:r>
      <w:r w:rsidRPr="00216FE5">
        <w:rPr>
          <w:rFonts w:ascii="GlyphLessFont" w:hAnsi="GlyphLessFont" w:cs="GlyphLessFont"/>
          <w:sz w:val="18"/>
          <w:szCs w:val="18"/>
        </w:rPr>
        <w:t>e</w:t>
      </w:r>
      <w:r w:rsidRPr="00596439">
        <w:rPr>
          <w:rFonts w:ascii="GlyphLessFont" w:hAnsi="GlyphLessFont" w:cs="GlyphLessFont"/>
          <w:sz w:val="18"/>
          <w:szCs w:val="18"/>
          <w:lang w:val="sr-Cyrl-RS"/>
        </w:rPr>
        <w:t xml:space="preserve"> </w:t>
      </w:r>
      <w:r w:rsidR="00DF5CE0" w:rsidRPr="00216FE5">
        <w:rPr>
          <w:rFonts w:asciiTheme="minorHAnsi" w:hAnsiTheme="minorHAnsi" w:cs="GlyphLessFont"/>
          <w:sz w:val="18"/>
          <w:szCs w:val="18"/>
          <w:lang w:val="sr-Cyrl-RS"/>
        </w:rPr>
        <w:t>з</w:t>
      </w:r>
      <w:r w:rsidRPr="00216FE5">
        <w:rPr>
          <w:rFonts w:ascii="GlyphLessFont" w:hAnsi="GlyphLessFont" w:cs="GlyphLessFont"/>
          <w:sz w:val="18"/>
          <w:szCs w:val="18"/>
        </w:rPr>
        <w:t>anuca</w:t>
      </w:r>
      <w:r w:rsidR="00DF5CE0" w:rsidRPr="00216FE5">
        <w:rPr>
          <w:rFonts w:asciiTheme="minorHAnsi" w:hAnsiTheme="minorHAnsi" w:cs="GlyphLessFont"/>
          <w:sz w:val="18"/>
          <w:szCs w:val="18"/>
          <w:lang w:val="sr-Cyrl-RS"/>
        </w:rPr>
        <w:t>н</w:t>
      </w:r>
      <w:r w:rsidRPr="00216FE5">
        <w:rPr>
          <w:rFonts w:ascii="GlyphLessFont" w:hAnsi="GlyphLessFont" w:cs="GlyphLessFont"/>
          <w:sz w:val="18"/>
          <w:szCs w:val="18"/>
        </w:rPr>
        <w:t>o</w:t>
      </w:r>
      <w:r w:rsidRPr="00596439">
        <w:rPr>
          <w:rFonts w:ascii="GlyphLessFont" w:hAnsi="GlyphLessFont" w:cs="GlyphLessFont"/>
          <w:sz w:val="18"/>
          <w:szCs w:val="18"/>
          <w:lang w:val="sr-Cyrl-RS"/>
        </w:rPr>
        <w:t xml:space="preserve">. </w:t>
      </w:r>
      <w:r w:rsidRPr="00216FE5">
        <w:rPr>
          <w:rFonts w:ascii="GlyphLessFont" w:hAnsi="GlyphLessFont" w:cs="GlyphLessFont"/>
          <w:sz w:val="18"/>
          <w:szCs w:val="18"/>
        </w:rPr>
        <w:t>C</w:t>
      </w:r>
      <w:r w:rsidR="00DF5CE0" w:rsidRPr="00216FE5">
        <w:rPr>
          <w:rFonts w:asciiTheme="minorHAnsi" w:hAnsiTheme="minorHAnsi" w:cs="GlyphLessFont"/>
          <w:sz w:val="18"/>
          <w:szCs w:val="18"/>
          <w:lang w:val="sr-Cyrl-RS"/>
        </w:rPr>
        <w:t>в</w:t>
      </w:r>
      <w:r w:rsidRPr="00216FE5">
        <w:rPr>
          <w:rFonts w:ascii="GlyphLessFont" w:hAnsi="GlyphLessFont" w:cs="GlyphLessFont"/>
          <w:sz w:val="18"/>
          <w:szCs w:val="18"/>
        </w:rPr>
        <w:t>e</w:t>
      </w:r>
      <w:r w:rsidR="00596439">
        <w:rPr>
          <w:rFonts w:asciiTheme="minorHAnsi" w:hAnsiTheme="minorHAnsi" w:cs="GlyphLessFont"/>
          <w:sz w:val="18"/>
          <w:szCs w:val="18"/>
          <w:lang w:val="sr-Cyrl-RS"/>
        </w:rPr>
        <w:t>.</w:t>
      </w:r>
      <w:r w:rsidR="00DF5CE0" w:rsidRPr="00216FE5">
        <w:rPr>
          <w:rFonts w:asciiTheme="minorHAnsi" w:hAnsiTheme="minorHAnsi" w:cs="GlyphLessFont"/>
          <w:sz w:val="18"/>
          <w:szCs w:val="18"/>
          <w:lang w:val="sr-Cyrl-RS"/>
        </w:rPr>
        <w:t xml:space="preserve"> </w:t>
      </w:r>
    </w:p>
  </w:footnote>
  <w:footnote w:id="6">
    <w:p w14:paraId="14B6AC90" w14:textId="3813C8F0" w:rsidR="003472AC" w:rsidRPr="00CB27D3" w:rsidRDefault="003472AC">
      <w:pPr>
        <w:pStyle w:val="Textonotapie"/>
        <w:rPr>
          <w:lang w:val="sr-Cyrl-RS"/>
        </w:rPr>
      </w:pPr>
      <w:r>
        <w:rPr>
          <w:rStyle w:val="Refdenotaalpie"/>
        </w:rPr>
        <w:footnoteRef/>
      </w:r>
      <w:r w:rsidRPr="00CB27D3">
        <w:rPr>
          <w:lang w:val="ru-RU"/>
        </w:rPr>
        <w:t xml:space="preserve"> </w:t>
      </w:r>
      <w:r w:rsidR="00CB27D3">
        <w:rPr>
          <w:lang w:val="sr-Cyrl-RS"/>
        </w:rPr>
        <w:t xml:space="preserve">Ништа није заборављено, ни имена писаца старих уџбеника и </w:t>
      </w:r>
      <w:r w:rsidR="008359D7">
        <w:rPr>
          <w:lang w:val="sr-Cyrl-RS"/>
        </w:rPr>
        <w:t>читанки пуних добродушних савета, поучних прича и библијских парабола. Свако раздобље живота, сваки доживљај је забележен, свака риба ухваћена на удицу, свака прочитана страница, име сваке биљке је дечак узбрао.</w:t>
      </w:r>
    </w:p>
  </w:footnote>
  <w:footnote w:id="7">
    <w:p w14:paraId="330483BF" w14:textId="29E67CD7" w:rsidR="003472AC" w:rsidRPr="00CB27D3" w:rsidRDefault="003472AC">
      <w:pPr>
        <w:pStyle w:val="Textonotapie"/>
        <w:rPr>
          <w:lang w:val="ru-RU"/>
        </w:rPr>
      </w:pPr>
      <w:r>
        <w:rPr>
          <w:rStyle w:val="Refdenotaalpie"/>
        </w:rPr>
        <w:footnoteRef/>
      </w:r>
      <w:r w:rsidRPr="00CB27D3">
        <w:rPr>
          <w:lang w:val="ru-RU"/>
        </w:rPr>
        <w:t xml:space="preserve"> </w:t>
      </w:r>
      <w:r w:rsidR="008359D7">
        <w:rPr>
          <w:lang w:val="ru-RU"/>
        </w:rPr>
        <w:t>Онда сам видела, као да се све то на моје очи одвија.</w:t>
      </w:r>
    </w:p>
  </w:footnote>
  <w:footnote w:id="8">
    <w:p w14:paraId="3F845A3D" w14:textId="2302C734" w:rsidR="00580563" w:rsidRPr="008359D7" w:rsidRDefault="00580563">
      <w:pPr>
        <w:pStyle w:val="Textonotapie"/>
        <w:rPr>
          <w:lang w:val="ru-RU"/>
        </w:rPr>
      </w:pPr>
      <w:r>
        <w:rPr>
          <w:rStyle w:val="Refdenotaalpie"/>
        </w:rPr>
        <w:footnoteRef/>
      </w:r>
      <w:r w:rsidRPr="008359D7">
        <w:rPr>
          <w:lang w:val="ru-RU"/>
        </w:rPr>
        <w:t xml:space="preserve"> </w:t>
      </w:r>
      <w:r w:rsidR="00304A0A">
        <w:rPr>
          <w:lang w:val="ru-RU"/>
        </w:rPr>
        <w:t>Мој отац провео са мањим рекидима неких педецет година у Београду, а та сума живљења, тај збир од неких осамнаест хиљала дана и ноћи (четиристо тридесет и осам хиљада сати) дата је овде</w:t>
      </w:r>
      <w:r w:rsidR="000645CB">
        <w:rPr>
          <w:lang w:val="ru-RU"/>
        </w:rPr>
        <w:t>, у Књизи мртвих, на простору од неких пет-шест страница!</w:t>
      </w:r>
    </w:p>
  </w:footnote>
  <w:footnote w:id="9">
    <w:p w14:paraId="52D8440D" w14:textId="60D83C85" w:rsidR="00580563" w:rsidRPr="000645CB" w:rsidRDefault="00580563">
      <w:pPr>
        <w:pStyle w:val="Textonotapie"/>
        <w:rPr>
          <w:lang w:val="sr-Cyrl-RS"/>
        </w:rPr>
      </w:pPr>
      <w:r>
        <w:rPr>
          <w:rStyle w:val="Refdenotaalpie"/>
        </w:rPr>
        <w:footnoteRef/>
      </w:r>
      <w:r w:rsidRPr="000645CB">
        <w:rPr>
          <w:lang w:val="ru-RU"/>
        </w:rPr>
        <w:t xml:space="preserve"> </w:t>
      </w:r>
      <w:r w:rsidR="000645CB">
        <w:rPr>
          <w:lang w:val="sr-Cyrl-RS"/>
        </w:rPr>
        <w:t>Ето шта је остало у мом сећању из те лектире, ето шта је остало у мојим белешкама записаним на брзину, пре-мрзлим прстима.</w:t>
      </w:r>
    </w:p>
  </w:footnote>
  <w:footnote w:id="10">
    <w:p w14:paraId="15FD371E" w14:textId="724BE411" w:rsidR="00757EE8" w:rsidRDefault="00757EE8">
      <w:pPr>
        <w:pStyle w:val="Textonotapie"/>
      </w:pPr>
      <w:r>
        <w:rPr>
          <w:rStyle w:val="Refdenotaalpie"/>
        </w:rPr>
        <w:footnoteRef/>
      </w:r>
      <w:r>
        <w:t xml:space="preserve"> La aparición de las mujeres en la obra de Borges, según la tesis de Jor</w:t>
      </w:r>
      <w:r w:rsidR="00236300">
        <w:t>g</w:t>
      </w:r>
      <w:r>
        <w:t xml:space="preserve">e Panesi, </w:t>
      </w:r>
      <w:r w:rsidR="000E7A74">
        <w:t>está más bien en relación con la desarticulación del código del compadrito y un cambio en la estructura del duelo en tanto justicia no estatal. Cf. J</w:t>
      </w:r>
      <w:r w:rsidR="00236300">
        <w:t>.</w:t>
      </w:r>
      <w:r w:rsidR="000E7A74">
        <w:t xml:space="preserve"> Panesi (1997) “Mujeres: la ficción de Borges”, pp. 58-62.  </w:t>
      </w:r>
    </w:p>
  </w:footnote>
  <w:footnote w:id="11">
    <w:p w14:paraId="37434657" w14:textId="3796401D" w:rsidR="00E808AA" w:rsidRPr="000645CB" w:rsidRDefault="00E808AA">
      <w:pPr>
        <w:pStyle w:val="Textonotapie"/>
        <w:rPr>
          <w:lang w:val="sr-Cyrl-RS"/>
        </w:rPr>
      </w:pPr>
      <w:r>
        <w:rPr>
          <w:rStyle w:val="Refdenotaalpie"/>
        </w:rPr>
        <w:footnoteRef/>
      </w:r>
      <w:r w:rsidRPr="000645CB">
        <w:rPr>
          <w:lang w:val="ru-RU"/>
        </w:rPr>
        <w:t xml:space="preserve"> </w:t>
      </w:r>
      <w:r w:rsidR="000645CB">
        <w:rPr>
          <w:lang w:val="sr-Cyrl-RS"/>
        </w:rPr>
        <w:t xml:space="preserve">Као што су, по логици свог програма – да не постоје у људском животу безначајне ствари и хијерархија догаћаја – укњижили све дечје болести које смо боловали, заушке, ангине, велики кашаљ, свраб, </w:t>
      </w:r>
      <w:r w:rsidR="008F524E">
        <w:rPr>
          <w:lang w:val="sr-Cyrl-RS"/>
        </w:rPr>
        <w:t>али и појаву вашију и очеве тегобе са плућима.</w:t>
      </w:r>
    </w:p>
  </w:footnote>
  <w:footnote w:id="12">
    <w:p w14:paraId="2D1B8C3E" w14:textId="58AAADA3" w:rsidR="00E808AA" w:rsidRPr="007A00F7" w:rsidRDefault="00E808AA">
      <w:pPr>
        <w:pStyle w:val="Textonotapie"/>
        <w:rPr>
          <w:lang w:val="sr-Cyrl-RS"/>
        </w:rPr>
      </w:pPr>
      <w:r>
        <w:rPr>
          <w:rStyle w:val="Refdenotaalpie"/>
        </w:rPr>
        <w:footnoteRef/>
      </w:r>
      <w:r w:rsidRPr="000645CB">
        <w:rPr>
          <w:lang w:val="ru-RU"/>
        </w:rPr>
        <w:t xml:space="preserve"> </w:t>
      </w:r>
      <w:r w:rsidR="007A00F7">
        <w:rPr>
          <w:lang w:val="sr-Cyrl-RS"/>
        </w:rPr>
        <w:t>Чула сам како се иза мене окреће кључ у брави; тако се нађох у библиотеци као у казамату.</w:t>
      </w:r>
    </w:p>
  </w:footnote>
  <w:footnote w:id="13">
    <w:p w14:paraId="563F4BDC" w14:textId="342745C8" w:rsidR="00AB6FD3" w:rsidRPr="00AB6FD3" w:rsidRDefault="00AB6FD3">
      <w:pPr>
        <w:pStyle w:val="Textonotapie"/>
        <w:rPr>
          <w:lang w:val="ru-RU"/>
        </w:rPr>
      </w:pPr>
      <w:r>
        <w:rPr>
          <w:rStyle w:val="Refdenotaalpie"/>
        </w:rPr>
        <w:footnoteRef/>
      </w:r>
      <w:r w:rsidRPr="00AB6FD3">
        <w:rPr>
          <w:lang w:val="ru-RU"/>
        </w:rPr>
        <w:t xml:space="preserve"> </w:t>
      </w:r>
      <w:r>
        <w:rPr>
          <w:lang w:val="ru-RU"/>
        </w:rPr>
        <w:t>Јер сваки је догађај повезан, рекох ли, са његовом личном судбином.</w:t>
      </w:r>
    </w:p>
  </w:footnote>
  <w:footnote w:id="14">
    <w:p w14:paraId="44BD68CA" w14:textId="7EFBD115" w:rsidR="00D02842" w:rsidRPr="00FA485B" w:rsidRDefault="00D02842">
      <w:pPr>
        <w:pStyle w:val="Textonotapie"/>
        <w:rPr>
          <w:lang w:val="ru-RU"/>
        </w:rPr>
      </w:pPr>
      <w:r>
        <w:rPr>
          <w:rStyle w:val="Refdenotaalpie"/>
        </w:rPr>
        <w:footnoteRef/>
      </w:r>
      <w:r w:rsidRPr="007A00F7">
        <w:rPr>
          <w:lang w:val="ru-RU"/>
        </w:rPr>
        <w:t xml:space="preserve"> </w:t>
      </w:r>
      <w:r w:rsidR="00FA485B">
        <w:rPr>
          <w:lang w:val="ru-RU"/>
        </w:rPr>
        <w:t xml:space="preserve">Јер – а то је мислим основна порука састављача </w:t>
      </w:r>
      <w:r w:rsidR="00FA485B">
        <w:rPr>
          <w:i/>
          <w:iCs/>
          <w:lang w:val="ru-RU"/>
        </w:rPr>
        <w:t>Енциклопедије</w:t>
      </w:r>
      <w:r w:rsidR="00FA485B">
        <w:rPr>
          <w:lang w:val="ru-RU"/>
        </w:rPr>
        <w:t xml:space="preserve"> – никад се ништа не понавља у историји људских бића.</w:t>
      </w:r>
    </w:p>
  </w:footnote>
  <w:footnote w:id="15">
    <w:p w14:paraId="6B21DA92" w14:textId="75D76BC4" w:rsidR="00AF11D3" w:rsidRPr="00FA485B" w:rsidRDefault="00AF11D3">
      <w:pPr>
        <w:pStyle w:val="Textonotapie"/>
        <w:rPr>
          <w:lang w:val="ru-RU"/>
        </w:rPr>
      </w:pPr>
      <w:r>
        <w:rPr>
          <w:rStyle w:val="Refdenotaalpie"/>
        </w:rPr>
        <w:footnoteRef/>
      </w:r>
      <w:r w:rsidRPr="00FA485B">
        <w:rPr>
          <w:lang w:val="ru-RU"/>
        </w:rPr>
        <w:t xml:space="preserve"> </w:t>
      </w:r>
      <w:r w:rsidR="00FA485B">
        <w:rPr>
          <w:lang w:val="ru-RU"/>
        </w:rPr>
        <w:t>Историја</w:t>
      </w:r>
      <w:r w:rsidR="00FA485B" w:rsidRPr="00FA485B">
        <w:rPr>
          <w:lang w:val="ru-RU"/>
        </w:rPr>
        <w:t xml:space="preserve"> </w:t>
      </w:r>
      <w:r w:rsidR="00FA485B">
        <w:rPr>
          <w:lang w:val="ru-RU"/>
        </w:rPr>
        <w:t>је</w:t>
      </w:r>
      <w:r w:rsidR="00FA485B" w:rsidRPr="00FA485B">
        <w:rPr>
          <w:lang w:val="ru-RU"/>
        </w:rPr>
        <w:t xml:space="preserve"> </w:t>
      </w:r>
      <w:r w:rsidR="00FA485B">
        <w:rPr>
          <w:lang w:val="ru-RU"/>
        </w:rPr>
        <w:t>за</w:t>
      </w:r>
      <w:r w:rsidR="00FA485B" w:rsidRPr="00FA485B">
        <w:rPr>
          <w:lang w:val="ru-RU"/>
        </w:rPr>
        <w:t xml:space="preserve"> </w:t>
      </w:r>
      <w:r w:rsidR="00FA485B">
        <w:rPr>
          <w:lang w:val="ru-RU"/>
        </w:rPr>
        <w:t>Књигу</w:t>
      </w:r>
      <w:r w:rsidR="00FA485B" w:rsidRPr="00FA485B">
        <w:rPr>
          <w:lang w:val="ru-RU"/>
        </w:rPr>
        <w:t xml:space="preserve"> </w:t>
      </w:r>
      <w:r w:rsidR="00FA485B">
        <w:rPr>
          <w:lang w:val="ru-RU"/>
        </w:rPr>
        <w:t>мртбих сума људских судбина.</w:t>
      </w:r>
    </w:p>
  </w:footnote>
  <w:footnote w:id="16">
    <w:p w14:paraId="25BD6FFC" w14:textId="240BE503" w:rsidR="00FA485B" w:rsidRPr="00880B08" w:rsidRDefault="00FA485B">
      <w:pPr>
        <w:pStyle w:val="Textonotapie"/>
        <w:rPr>
          <w:lang w:val="sr-Cyrl-RS"/>
        </w:rPr>
      </w:pPr>
      <w:r>
        <w:rPr>
          <w:rStyle w:val="Refdenotaalpie"/>
        </w:rPr>
        <w:footnoteRef/>
      </w:r>
      <w:r w:rsidRPr="00AB6FD3">
        <w:rPr>
          <w:lang w:val="ru-RU"/>
        </w:rPr>
        <w:t xml:space="preserve"> </w:t>
      </w:r>
      <w:r w:rsidR="00AB6FD3">
        <w:rPr>
          <w:lang w:val="sr-Cyrl-RS"/>
        </w:rPr>
        <w:t>Уцр</w:t>
      </w:r>
      <w:r w:rsidR="00880B08">
        <w:rPr>
          <w:lang w:val="sr-Cyrl-RS"/>
        </w:rPr>
        <w:t>т</w:t>
      </w:r>
      <w:r w:rsidR="00AB6FD3">
        <w:rPr>
          <w:lang w:val="sr-Cyrl-RS"/>
        </w:rPr>
        <w:t>ајте у свести карту тог региона, увећајте сваку од тих тачкица са мапе или војничке секције (1:50 000), увећајте их до реал</w:t>
      </w:r>
      <w:r w:rsidR="00880B08">
        <w:rPr>
          <w:lang w:val="sr-Cyrl-RS"/>
        </w:rPr>
        <w:t>н</w:t>
      </w:r>
      <w:r w:rsidR="00AB6FD3">
        <w:rPr>
          <w:lang w:val="sr-Cyrl-RS"/>
        </w:rPr>
        <w:t>их размера, означите улице и куче у којима је становао, уђите затим у двориште, у кућу, направите распоред просторија, саставите инвентар намештаја и воћњака; и немојте заборавити имена цвећа које расте у башти иза куће, као ни новинске вести које чита и у којима се говори о пакту Рибентроп-Молотов, о бекстве краљевске владе, о ценама масти и уља</w:t>
      </w:r>
      <w:r w:rsidR="00880B08">
        <w:rPr>
          <w:lang w:val="sr-Cyrl-RS"/>
        </w:rPr>
        <w:t xml:space="preserve">, о подвизима ваздушног аса Алексића... Ето, тако то раде мајстори </w:t>
      </w:r>
      <w:r w:rsidR="00880B08">
        <w:rPr>
          <w:i/>
          <w:iCs/>
          <w:lang w:val="sr-Cyrl-RS"/>
        </w:rPr>
        <w:t>Енциклопедије.</w:t>
      </w:r>
    </w:p>
  </w:footnote>
  <w:footnote w:id="17">
    <w:p w14:paraId="50763CAB" w14:textId="203B9D54" w:rsidR="00281320" w:rsidRDefault="00281320">
      <w:pPr>
        <w:pStyle w:val="Textonotapie"/>
      </w:pPr>
      <w:r>
        <w:rPr>
          <w:rStyle w:val="Refdenotaalpie"/>
        </w:rPr>
        <w:footnoteRef/>
      </w:r>
      <w:r>
        <w:t xml:space="preserve"> </w:t>
      </w:r>
      <w:r w:rsidR="00216FE5">
        <w:t>Borges le dedica t</w:t>
      </w:r>
      <w:r>
        <w:t xml:space="preserve">res poemas a Heráclito: </w:t>
      </w:r>
      <w:r w:rsidRPr="00281320">
        <w:t>“</w:t>
      </w:r>
      <w:r w:rsidRPr="00EA440C">
        <w:rPr>
          <w:i/>
          <w:iCs/>
        </w:rPr>
        <w:t>Le regret d’Heraclite</w:t>
      </w:r>
      <w:r w:rsidRPr="00281320">
        <w:t xml:space="preserve">” (en </w:t>
      </w:r>
      <w:r w:rsidRPr="00281320">
        <w:rPr>
          <w:i/>
          <w:iCs/>
        </w:rPr>
        <w:t>El hacedor</w:t>
      </w:r>
      <w:r w:rsidRPr="00281320">
        <w:t xml:space="preserve">, 1960) y los dos “Heráclito” (uno, en </w:t>
      </w:r>
      <w:r w:rsidRPr="00281320">
        <w:rPr>
          <w:i/>
          <w:iCs/>
        </w:rPr>
        <w:t>Elogio de la sombra</w:t>
      </w:r>
      <w:r w:rsidRPr="00281320">
        <w:t xml:space="preserve">, 1969; otro, en </w:t>
      </w:r>
      <w:r w:rsidRPr="00281320">
        <w:rPr>
          <w:i/>
          <w:iCs/>
        </w:rPr>
        <w:t>La moneda de hierro</w:t>
      </w:r>
      <w:r w:rsidRPr="00281320">
        <w:t>, 1976).</w:t>
      </w:r>
    </w:p>
  </w:footnote>
  <w:footnote w:id="18">
    <w:p w14:paraId="0B214467" w14:textId="5EAEF110" w:rsidR="002423CF" w:rsidRDefault="00216FE5">
      <w:pPr>
        <w:pStyle w:val="Textonotapie"/>
        <w:rPr>
          <w:lang w:val="sr-Cyrl-RS"/>
        </w:rPr>
      </w:pPr>
      <w:r>
        <w:rPr>
          <w:rStyle w:val="Refdenotaalpie"/>
        </w:rPr>
        <w:footnoteRef/>
      </w:r>
      <w:r w:rsidRPr="002423CF">
        <w:rPr>
          <w:lang w:val="ru-RU"/>
        </w:rPr>
        <w:t xml:space="preserve"> </w:t>
      </w:r>
      <w:r w:rsidR="002423CF">
        <w:rPr>
          <w:lang w:val="sr-Cyrl-RS"/>
        </w:rPr>
        <w:t>Из те големе реке његове биографије, из тог породичног романа, одвајају се рукавци, на ће, упоредо с његовим радом у фабрици шећера, година 1943–1944, у некој врсти резимеа и хронике, бити исписана и судбина моје мајке, и нас, његове деце: читави томови сведени на неколико речитих параграфа.</w:t>
      </w:r>
    </w:p>
    <w:p w14:paraId="5B59EB7E" w14:textId="77777777" w:rsidR="002423CF" w:rsidRDefault="002423CF">
      <w:pPr>
        <w:pStyle w:val="Textonotapie"/>
        <w:rPr>
          <w:lang w:val="sr-Cyrl-RS"/>
        </w:rPr>
      </w:pPr>
    </w:p>
    <w:p w14:paraId="1F79C8B2" w14:textId="77777777" w:rsidR="002423CF" w:rsidRPr="002423CF" w:rsidRDefault="002423CF">
      <w:pPr>
        <w:pStyle w:val="Textonotapie"/>
        <w:rPr>
          <w:lang w:val="sr-Cyrl-R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E9B51" w14:textId="77777777" w:rsidR="00AC69C4" w:rsidRDefault="00AC69C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7E2B8" w14:textId="77777777" w:rsidR="00AC69C4" w:rsidRDefault="00AC69C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F47E5" w14:textId="77777777" w:rsidR="00AC69C4" w:rsidRDefault="00AC69C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C556A"/>
    <w:multiLevelType w:val="hybridMultilevel"/>
    <w:tmpl w:val="3940B61A"/>
    <w:lvl w:ilvl="0" w:tplc="08EA5660">
      <w:start w:val="3"/>
      <w:numFmt w:val="bullet"/>
      <w:lvlText w:val=""/>
      <w:lvlJc w:val="left"/>
      <w:pPr>
        <w:ind w:left="660" w:hanging="360"/>
      </w:pPr>
      <w:rPr>
        <w:rFonts w:ascii="Wingdings" w:eastAsiaTheme="minorHAnsi" w:hAnsi="Wingdings" w:cstheme="minorBidi" w:hint="default"/>
      </w:rPr>
    </w:lvl>
    <w:lvl w:ilvl="1" w:tplc="0C0A0003" w:tentative="1">
      <w:start w:val="1"/>
      <w:numFmt w:val="bullet"/>
      <w:lvlText w:val="o"/>
      <w:lvlJc w:val="left"/>
      <w:pPr>
        <w:ind w:left="1380" w:hanging="360"/>
      </w:pPr>
      <w:rPr>
        <w:rFonts w:ascii="Courier New" w:hAnsi="Courier New" w:cs="Courier New" w:hint="default"/>
      </w:rPr>
    </w:lvl>
    <w:lvl w:ilvl="2" w:tplc="0C0A0005" w:tentative="1">
      <w:start w:val="1"/>
      <w:numFmt w:val="bullet"/>
      <w:lvlText w:val=""/>
      <w:lvlJc w:val="left"/>
      <w:pPr>
        <w:ind w:left="2100" w:hanging="360"/>
      </w:pPr>
      <w:rPr>
        <w:rFonts w:ascii="Wingdings" w:hAnsi="Wingdings" w:hint="default"/>
      </w:rPr>
    </w:lvl>
    <w:lvl w:ilvl="3" w:tplc="0C0A0001" w:tentative="1">
      <w:start w:val="1"/>
      <w:numFmt w:val="bullet"/>
      <w:lvlText w:val=""/>
      <w:lvlJc w:val="left"/>
      <w:pPr>
        <w:ind w:left="2820" w:hanging="360"/>
      </w:pPr>
      <w:rPr>
        <w:rFonts w:ascii="Symbol" w:hAnsi="Symbol" w:hint="default"/>
      </w:rPr>
    </w:lvl>
    <w:lvl w:ilvl="4" w:tplc="0C0A0003" w:tentative="1">
      <w:start w:val="1"/>
      <w:numFmt w:val="bullet"/>
      <w:lvlText w:val="o"/>
      <w:lvlJc w:val="left"/>
      <w:pPr>
        <w:ind w:left="3540" w:hanging="360"/>
      </w:pPr>
      <w:rPr>
        <w:rFonts w:ascii="Courier New" w:hAnsi="Courier New" w:cs="Courier New" w:hint="default"/>
      </w:rPr>
    </w:lvl>
    <w:lvl w:ilvl="5" w:tplc="0C0A0005" w:tentative="1">
      <w:start w:val="1"/>
      <w:numFmt w:val="bullet"/>
      <w:lvlText w:val=""/>
      <w:lvlJc w:val="left"/>
      <w:pPr>
        <w:ind w:left="4260" w:hanging="360"/>
      </w:pPr>
      <w:rPr>
        <w:rFonts w:ascii="Wingdings" w:hAnsi="Wingdings" w:hint="default"/>
      </w:rPr>
    </w:lvl>
    <w:lvl w:ilvl="6" w:tplc="0C0A0001" w:tentative="1">
      <w:start w:val="1"/>
      <w:numFmt w:val="bullet"/>
      <w:lvlText w:val=""/>
      <w:lvlJc w:val="left"/>
      <w:pPr>
        <w:ind w:left="4980" w:hanging="360"/>
      </w:pPr>
      <w:rPr>
        <w:rFonts w:ascii="Symbol" w:hAnsi="Symbol" w:hint="default"/>
      </w:rPr>
    </w:lvl>
    <w:lvl w:ilvl="7" w:tplc="0C0A0003" w:tentative="1">
      <w:start w:val="1"/>
      <w:numFmt w:val="bullet"/>
      <w:lvlText w:val="o"/>
      <w:lvlJc w:val="left"/>
      <w:pPr>
        <w:ind w:left="5700" w:hanging="360"/>
      </w:pPr>
      <w:rPr>
        <w:rFonts w:ascii="Courier New" w:hAnsi="Courier New" w:cs="Courier New" w:hint="default"/>
      </w:rPr>
    </w:lvl>
    <w:lvl w:ilvl="8" w:tplc="0C0A0005" w:tentative="1">
      <w:start w:val="1"/>
      <w:numFmt w:val="bullet"/>
      <w:lvlText w:val=""/>
      <w:lvlJc w:val="left"/>
      <w:pPr>
        <w:ind w:left="6420" w:hanging="360"/>
      </w:pPr>
      <w:rPr>
        <w:rFonts w:ascii="Wingdings" w:hAnsi="Wingdings" w:hint="default"/>
      </w:rPr>
    </w:lvl>
  </w:abstractNum>
  <w:abstractNum w:abstractNumId="1" w15:restartNumberingAfterBreak="0">
    <w:nsid w:val="35D74687"/>
    <w:multiLevelType w:val="hybridMultilevel"/>
    <w:tmpl w:val="C6F8D4D0"/>
    <w:lvl w:ilvl="0" w:tplc="4434E18E">
      <w:numFmt w:val="bullet"/>
      <w:lvlText w:val=""/>
      <w:lvlJc w:val="left"/>
      <w:pPr>
        <w:ind w:left="720" w:hanging="360"/>
      </w:pPr>
      <w:rPr>
        <w:rFonts w:ascii="Wingdings" w:eastAsiaTheme="minorHAnsi" w:hAnsi="Wingding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74013AF"/>
    <w:multiLevelType w:val="hybridMultilevel"/>
    <w:tmpl w:val="1F2E99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AC44146"/>
    <w:multiLevelType w:val="hybridMultilevel"/>
    <w:tmpl w:val="3B429D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0FE057E"/>
    <w:multiLevelType w:val="hybridMultilevel"/>
    <w:tmpl w:val="F856BBA8"/>
    <w:lvl w:ilvl="0" w:tplc="A61C0FD0">
      <w:start w:val="53"/>
      <w:numFmt w:val="bullet"/>
      <w:lvlText w:val=""/>
      <w:lvlJc w:val="left"/>
      <w:pPr>
        <w:ind w:left="1065" w:hanging="360"/>
      </w:pPr>
      <w:rPr>
        <w:rFonts w:ascii="Wingdings" w:eastAsiaTheme="minorHAnsi" w:hAnsi="Wingdings" w:cstheme="minorBid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num w:numId="1" w16cid:durableId="1109931907">
    <w:abstractNumId w:val="3"/>
  </w:num>
  <w:num w:numId="2" w16cid:durableId="1687361056">
    <w:abstractNumId w:val="0"/>
  </w:num>
  <w:num w:numId="3" w16cid:durableId="1395155098">
    <w:abstractNumId w:val="4"/>
  </w:num>
  <w:num w:numId="4" w16cid:durableId="623803961">
    <w:abstractNumId w:val="2"/>
  </w:num>
  <w:num w:numId="5" w16cid:durableId="801574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BC5"/>
    <w:rsid w:val="00001D12"/>
    <w:rsid w:val="00004F33"/>
    <w:rsid w:val="00006704"/>
    <w:rsid w:val="000263B7"/>
    <w:rsid w:val="000543E8"/>
    <w:rsid w:val="00063D60"/>
    <w:rsid w:val="000645CB"/>
    <w:rsid w:val="00071FA5"/>
    <w:rsid w:val="000950F3"/>
    <w:rsid w:val="000A7664"/>
    <w:rsid w:val="000B7DF0"/>
    <w:rsid w:val="000D2311"/>
    <w:rsid w:val="000D74EC"/>
    <w:rsid w:val="000E133B"/>
    <w:rsid w:val="000E7A74"/>
    <w:rsid w:val="00143FB5"/>
    <w:rsid w:val="001879AA"/>
    <w:rsid w:val="00195AC5"/>
    <w:rsid w:val="0019771B"/>
    <w:rsid w:val="001A5A75"/>
    <w:rsid w:val="001B3649"/>
    <w:rsid w:val="001B7A41"/>
    <w:rsid w:val="002001D0"/>
    <w:rsid w:val="00210379"/>
    <w:rsid w:val="00212766"/>
    <w:rsid w:val="002149B5"/>
    <w:rsid w:val="00216FE5"/>
    <w:rsid w:val="00224410"/>
    <w:rsid w:val="00236300"/>
    <w:rsid w:val="002423CF"/>
    <w:rsid w:val="0024585A"/>
    <w:rsid w:val="00245AC5"/>
    <w:rsid w:val="0024706B"/>
    <w:rsid w:val="00267127"/>
    <w:rsid w:val="00281320"/>
    <w:rsid w:val="00281344"/>
    <w:rsid w:val="00287365"/>
    <w:rsid w:val="00293CD2"/>
    <w:rsid w:val="002A4C94"/>
    <w:rsid w:val="002D509F"/>
    <w:rsid w:val="002D7AA9"/>
    <w:rsid w:val="002F257D"/>
    <w:rsid w:val="00304A0A"/>
    <w:rsid w:val="00305411"/>
    <w:rsid w:val="003177E7"/>
    <w:rsid w:val="00330272"/>
    <w:rsid w:val="00346ACC"/>
    <w:rsid w:val="003472AC"/>
    <w:rsid w:val="003C17F0"/>
    <w:rsid w:val="003C7CAB"/>
    <w:rsid w:val="003E4136"/>
    <w:rsid w:val="00400EF2"/>
    <w:rsid w:val="004209E0"/>
    <w:rsid w:val="00444DC5"/>
    <w:rsid w:val="0045026B"/>
    <w:rsid w:val="004645EC"/>
    <w:rsid w:val="0047295D"/>
    <w:rsid w:val="0048099F"/>
    <w:rsid w:val="00481A1F"/>
    <w:rsid w:val="004C5F92"/>
    <w:rsid w:val="004D3AB6"/>
    <w:rsid w:val="004D7CF7"/>
    <w:rsid w:val="004F1670"/>
    <w:rsid w:val="00501695"/>
    <w:rsid w:val="005225DC"/>
    <w:rsid w:val="005410A9"/>
    <w:rsid w:val="00541ACD"/>
    <w:rsid w:val="00556F9E"/>
    <w:rsid w:val="00571F15"/>
    <w:rsid w:val="00580563"/>
    <w:rsid w:val="00583F61"/>
    <w:rsid w:val="00596439"/>
    <w:rsid w:val="005B43CF"/>
    <w:rsid w:val="005C3A45"/>
    <w:rsid w:val="005C7A79"/>
    <w:rsid w:val="005D49E9"/>
    <w:rsid w:val="006148D2"/>
    <w:rsid w:val="00615F54"/>
    <w:rsid w:val="00621FF4"/>
    <w:rsid w:val="00633C0B"/>
    <w:rsid w:val="00634FF9"/>
    <w:rsid w:val="006379D5"/>
    <w:rsid w:val="00660198"/>
    <w:rsid w:val="00675593"/>
    <w:rsid w:val="00692F5D"/>
    <w:rsid w:val="006B1270"/>
    <w:rsid w:val="006B642E"/>
    <w:rsid w:val="006C20B7"/>
    <w:rsid w:val="00713E24"/>
    <w:rsid w:val="00720835"/>
    <w:rsid w:val="00721A8D"/>
    <w:rsid w:val="00754519"/>
    <w:rsid w:val="00757EE8"/>
    <w:rsid w:val="007814AA"/>
    <w:rsid w:val="007A00F7"/>
    <w:rsid w:val="007A0EEA"/>
    <w:rsid w:val="007C4927"/>
    <w:rsid w:val="00801D04"/>
    <w:rsid w:val="008022E4"/>
    <w:rsid w:val="00807BC5"/>
    <w:rsid w:val="00834FC7"/>
    <w:rsid w:val="008359D7"/>
    <w:rsid w:val="00842E97"/>
    <w:rsid w:val="00845DD6"/>
    <w:rsid w:val="00856C90"/>
    <w:rsid w:val="0087197E"/>
    <w:rsid w:val="00880B08"/>
    <w:rsid w:val="008A50B7"/>
    <w:rsid w:val="008C463C"/>
    <w:rsid w:val="008F2066"/>
    <w:rsid w:val="008F524E"/>
    <w:rsid w:val="00912062"/>
    <w:rsid w:val="00926593"/>
    <w:rsid w:val="009521A6"/>
    <w:rsid w:val="00953DD5"/>
    <w:rsid w:val="009558E7"/>
    <w:rsid w:val="00955B97"/>
    <w:rsid w:val="00967240"/>
    <w:rsid w:val="009D5EB8"/>
    <w:rsid w:val="009E4CBA"/>
    <w:rsid w:val="009F07C6"/>
    <w:rsid w:val="00A13DAC"/>
    <w:rsid w:val="00A14ED8"/>
    <w:rsid w:val="00A25E88"/>
    <w:rsid w:val="00A27CA5"/>
    <w:rsid w:val="00A33EC6"/>
    <w:rsid w:val="00A5380B"/>
    <w:rsid w:val="00A94570"/>
    <w:rsid w:val="00A9605E"/>
    <w:rsid w:val="00AB6FD3"/>
    <w:rsid w:val="00AC55B7"/>
    <w:rsid w:val="00AC69C4"/>
    <w:rsid w:val="00AE26DD"/>
    <w:rsid w:val="00AF11D3"/>
    <w:rsid w:val="00B17F56"/>
    <w:rsid w:val="00B57BDF"/>
    <w:rsid w:val="00B757D0"/>
    <w:rsid w:val="00B77312"/>
    <w:rsid w:val="00B86946"/>
    <w:rsid w:val="00BB08B8"/>
    <w:rsid w:val="00BB302B"/>
    <w:rsid w:val="00BC1C91"/>
    <w:rsid w:val="00BC48D7"/>
    <w:rsid w:val="00BC60BF"/>
    <w:rsid w:val="00BC62F8"/>
    <w:rsid w:val="00BC7804"/>
    <w:rsid w:val="00BD560A"/>
    <w:rsid w:val="00BE2D23"/>
    <w:rsid w:val="00BE33B4"/>
    <w:rsid w:val="00BF3507"/>
    <w:rsid w:val="00C01943"/>
    <w:rsid w:val="00C123BF"/>
    <w:rsid w:val="00C80BBD"/>
    <w:rsid w:val="00CB27D3"/>
    <w:rsid w:val="00CC0C0F"/>
    <w:rsid w:val="00CC3192"/>
    <w:rsid w:val="00CD7A19"/>
    <w:rsid w:val="00CF3034"/>
    <w:rsid w:val="00D02842"/>
    <w:rsid w:val="00D03475"/>
    <w:rsid w:val="00D22595"/>
    <w:rsid w:val="00D25619"/>
    <w:rsid w:val="00D36B23"/>
    <w:rsid w:val="00D45BE4"/>
    <w:rsid w:val="00D71DCC"/>
    <w:rsid w:val="00D75E56"/>
    <w:rsid w:val="00D93EB4"/>
    <w:rsid w:val="00D96484"/>
    <w:rsid w:val="00DB4613"/>
    <w:rsid w:val="00DC5461"/>
    <w:rsid w:val="00DE69B7"/>
    <w:rsid w:val="00DF0F4E"/>
    <w:rsid w:val="00DF5CE0"/>
    <w:rsid w:val="00E02F06"/>
    <w:rsid w:val="00E11628"/>
    <w:rsid w:val="00E32942"/>
    <w:rsid w:val="00E34E84"/>
    <w:rsid w:val="00E44066"/>
    <w:rsid w:val="00E45B29"/>
    <w:rsid w:val="00E5675F"/>
    <w:rsid w:val="00E75DAB"/>
    <w:rsid w:val="00E77014"/>
    <w:rsid w:val="00E808AA"/>
    <w:rsid w:val="00E91937"/>
    <w:rsid w:val="00E943A9"/>
    <w:rsid w:val="00E975B8"/>
    <w:rsid w:val="00EA440C"/>
    <w:rsid w:val="00EA563A"/>
    <w:rsid w:val="00EA6897"/>
    <w:rsid w:val="00EB1951"/>
    <w:rsid w:val="00EC6B3E"/>
    <w:rsid w:val="00EE15B5"/>
    <w:rsid w:val="00EF5E07"/>
    <w:rsid w:val="00F0530F"/>
    <w:rsid w:val="00F06E9B"/>
    <w:rsid w:val="00F17523"/>
    <w:rsid w:val="00F17902"/>
    <w:rsid w:val="00F27C29"/>
    <w:rsid w:val="00F371A3"/>
    <w:rsid w:val="00F43F55"/>
    <w:rsid w:val="00F44B07"/>
    <w:rsid w:val="00F60E3D"/>
    <w:rsid w:val="00F75024"/>
    <w:rsid w:val="00F94622"/>
    <w:rsid w:val="00FA485B"/>
    <w:rsid w:val="00FE03AB"/>
    <w:rsid w:val="00FF26DA"/>
    <w:rsid w:val="00FF36A4"/>
    <w:rsid w:val="00FF78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08A28"/>
  <w15:chartTrackingRefBased/>
  <w15:docId w15:val="{835F633A-A413-4AAB-B379-A51091F6A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07BC5"/>
    <w:pPr>
      <w:ind w:left="720"/>
      <w:contextualSpacing/>
    </w:pPr>
  </w:style>
  <w:style w:type="table" w:styleId="Tablaconcuadrcula">
    <w:name w:val="Table Grid"/>
    <w:basedOn w:val="Tablanormal"/>
    <w:uiPriority w:val="39"/>
    <w:rsid w:val="00E97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C69C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C69C4"/>
  </w:style>
  <w:style w:type="paragraph" w:styleId="Piedepgina">
    <w:name w:val="footer"/>
    <w:basedOn w:val="Normal"/>
    <w:link w:val="PiedepginaCar"/>
    <w:uiPriority w:val="99"/>
    <w:unhideWhenUsed/>
    <w:rsid w:val="00AC69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C69C4"/>
  </w:style>
  <w:style w:type="character" w:styleId="Hipervnculo">
    <w:name w:val="Hyperlink"/>
    <w:basedOn w:val="Fuentedeprrafopredeter"/>
    <w:uiPriority w:val="99"/>
    <w:unhideWhenUsed/>
    <w:rsid w:val="005D49E9"/>
    <w:rPr>
      <w:color w:val="0563C1" w:themeColor="hyperlink"/>
      <w:u w:val="single"/>
    </w:rPr>
  </w:style>
  <w:style w:type="character" w:styleId="Mencinsinresolver">
    <w:name w:val="Unresolved Mention"/>
    <w:basedOn w:val="Fuentedeprrafopredeter"/>
    <w:uiPriority w:val="99"/>
    <w:semiHidden/>
    <w:unhideWhenUsed/>
    <w:rsid w:val="005D49E9"/>
    <w:rPr>
      <w:color w:val="605E5C"/>
      <w:shd w:val="clear" w:color="auto" w:fill="E1DFDD"/>
    </w:rPr>
  </w:style>
  <w:style w:type="paragraph" w:styleId="Textonotapie">
    <w:name w:val="footnote text"/>
    <w:basedOn w:val="Normal"/>
    <w:link w:val="TextonotapieCar"/>
    <w:uiPriority w:val="99"/>
    <w:semiHidden/>
    <w:unhideWhenUsed/>
    <w:rsid w:val="00E1162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11628"/>
    <w:rPr>
      <w:sz w:val="20"/>
      <w:szCs w:val="20"/>
    </w:rPr>
  </w:style>
  <w:style w:type="character" w:styleId="Refdenotaalpie">
    <w:name w:val="footnote reference"/>
    <w:basedOn w:val="Fuentedeprrafopredeter"/>
    <w:uiPriority w:val="99"/>
    <w:semiHidden/>
    <w:unhideWhenUsed/>
    <w:rsid w:val="00E116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2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ournals.eu/Konteksty_Kultur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i.uaemex.mx/handle/20.500.11799/105067"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F157C-FB35-43D5-A8C4-C5909CDF0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1334</TotalTime>
  <Pages>11</Pages>
  <Words>3354</Words>
  <Characters>18448</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EUGENIO</dc:creator>
  <cp:keywords/>
  <dc:description/>
  <cp:lastModifiedBy>Eugenio López Arriazu</cp:lastModifiedBy>
  <cp:revision>84</cp:revision>
  <dcterms:created xsi:type="dcterms:W3CDTF">2023-10-16T14:28:00Z</dcterms:created>
  <dcterms:modified xsi:type="dcterms:W3CDTF">2023-10-30T15:26:00Z</dcterms:modified>
</cp:coreProperties>
</file>