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FC38E1" w:rsidRPr="001E5E5D" w:rsidRDefault="00F00D3F" w:rsidP="00EB42E9">
      <w:pPr>
        <w:pStyle w:val="Title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6ifj815wad4s" w:colFirst="0" w:colLast="0"/>
      <w:bookmarkEnd w:id="0"/>
      <w:r w:rsidRPr="001E5E5D">
        <w:rPr>
          <w:rFonts w:ascii="Times New Roman" w:eastAsia="Times New Roman" w:hAnsi="Times New Roman" w:cs="Times New Roman"/>
          <w:sz w:val="24"/>
          <w:szCs w:val="24"/>
        </w:rPr>
        <w:t>Kafkianas brasileiras: levantamento bibliográfico (análise e síntese)</w:t>
      </w:r>
    </w:p>
    <w:p w14:paraId="00000002" w14:textId="77777777" w:rsidR="00FC38E1" w:rsidRPr="00EB42E9" w:rsidRDefault="00FC38E1" w:rsidP="00EB42E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20C26A7" w14:textId="45CF15EE" w:rsidR="00BB63D2" w:rsidRDefault="00BB63D2" w:rsidP="001E5E5D">
      <w:pPr>
        <w:pStyle w:val="Subtitle"/>
        <w:spacing w:before="0" w:after="0" w:line="240" w:lineRule="auto"/>
        <w:jc w:val="right"/>
        <w:rPr>
          <w:rFonts w:ascii="Times New Roman" w:eastAsia="Times New Roman" w:hAnsi="Times New Roman" w:cs="Times New Roman"/>
          <w:i w:val="0"/>
          <w:iCs/>
          <w:color w:val="auto"/>
          <w:sz w:val="24"/>
          <w:szCs w:val="24"/>
        </w:rPr>
      </w:pPr>
      <w:bookmarkStart w:id="1" w:name="_heading=h.o0nhge5i4jb" w:colFirst="0" w:colLast="0"/>
      <w:bookmarkEnd w:id="1"/>
      <w:r w:rsidRPr="00BB63D2">
        <w:rPr>
          <w:rFonts w:ascii="Times New Roman" w:eastAsia="Times New Roman" w:hAnsi="Times New Roman" w:cs="Times New Roman"/>
          <w:i w:val="0"/>
          <w:iCs/>
          <w:color w:val="auto"/>
          <w:sz w:val="24"/>
          <w:szCs w:val="24"/>
        </w:rPr>
        <w:t>Beta da Costa Melo</w:t>
      </w:r>
      <w:r w:rsidRPr="00BB63D2">
        <w:rPr>
          <w:rFonts w:ascii="Times New Roman" w:eastAsia="Times New Roman" w:hAnsi="Times New Roman" w:cs="Times New Roman"/>
          <w:i w:val="0"/>
          <w:iCs/>
          <w:color w:val="auto"/>
          <w:sz w:val="24"/>
          <w:szCs w:val="24"/>
        </w:rPr>
        <w:t xml:space="preserve"> </w:t>
      </w:r>
      <w:r w:rsidR="00F00D3F" w:rsidRPr="001E5E5D">
        <w:rPr>
          <w:rFonts w:ascii="Times New Roman" w:eastAsia="Times New Roman" w:hAnsi="Times New Roman" w:cs="Times New Roman"/>
          <w:i w:val="0"/>
          <w:iCs/>
          <w:color w:val="auto"/>
          <w:sz w:val="24"/>
          <w:szCs w:val="24"/>
        </w:rPr>
        <w:t>(UERJ)</w:t>
      </w:r>
    </w:p>
    <w:p w14:paraId="5782F38E" w14:textId="7ABD6F37" w:rsidR="00BB63D2" w:rsidRDefault="00F00D3F" w:rsidP="001E5E5D">
      <w:pPr>
        <w:pStyle w:val="Subtitle"/>
        <w:spacing w:before="0" w:after="0" w:line="240" w:lineRule="auto"/>
        <w:jc w:val="right"/>
        <w:rPr>
          <w:rFonts w:ascii="Times New Roman" w:eastAsia="Times New Roman" w:hAnsi="Times New Roman" w:cs="Times New Roman"/>
          <w:i w:val="0"/>
          <w:iCs/>
          <w:color w:val="auto"/>
          <w:sz w:val="24"/>
          <w:szCs w:val="24"/>
        </w:rPr>
      </w:pPr>
      <w:r w:rsidRPr="001E5E5D">
        <w:rPr>
          <w:rFonts w:ascii="Times New Roman" w:eastAsia="Times New Roman" w:hAnsi="Times New Roman" w:cs="Times New Roman"/>
          <w:i w:val="0"/>
          <w:iCs/>
          <w:color w:val="auto"/>
          <w:sz w:val="24"/>
          <w:szCs w:val="24"/>
        </w:rPr>
        <w:t xml:space="preserve"> Daiana </w:t>
      </w:r>
      <w:r w:rsidR="00BB63D2">
        <w:rPr>
          <w:rFonts w:ascii="Times New Roman" w:eastAsia="Times New Roman" w:hAnsi="Times New Roman" w:cs="Times New Roman"/>
          <w:i w:val="0"/>
          <w:iCs/>
          <w:color w:val="auto"/>
          <w:sz w:val="24"/>
          <w:szCs w:val="24"/>
        </w:rPr>
        <w:t xml:space="preserve">C. F. </w:t>
      </w:r>
      <w:r w:rsidRPr="001E5E5D">
        <w:rPr>
          <w:rFonts w:ascii="Times New Roman" w:eastAsia="Times New Roman" w:hAnsi="Times New Roman" w:cs="Times New Roman"/>
          <w:i w:val="0"/>
          <w:iCs/>
          <w:color w:val="auto"/>
          <w:sz w:val="24"/>
          <w:szCs w:val="24"/>
        </w:rPr>
        <w:t>Seixas (UERJ/FAPERJ)</w:t>
      </w:r>
    </w:p>
    <w:p w14:paraId="00000003" w14:textId="0AEE6BD4" w:rsidR="00FC38E1" w:rsidRPr="001E5E5D" w:rsidRDefault="00F00D3F" w:rsidP="001E5E5D">
      <w:pPr>
        <w:pStyle w:val="Subtitle"/>
        <w:spacing w:before="0" w:after="0" w:line="240" w:lineRule="auto"/>
        <w:jc w:val="right"/>
        <w:rPr>
          <w:rFonts w:ascii="Times New Roman" w:eastAsia="Times New Roman" w:hAnsi="Times New Roman" w:cs="Times New Roman"/>
          <w:i w:val="0"/>
          <w:iCs/>
          <w:color w:val="auto"/>
          <w:sz w:val="24"/>
          <w:szCs w:val="24"/>
        </w:rPr>
      </w:pPr>
      <w:r w:rsidRPr="001E5E5D">
        <w:rPr>
          <w:rFonts w:ascii="Times New Roman" w:eastAsia="Times New Roman" w:hAnsi="Times New Roman" w:cs="Times New Roman"/>
          <w:i w:val="0"/>
          <w:iCs/>
          <w:color w:val="auto"/>
          <w:sz w:val="24"/>
          <w:szCs w:val="24"/>
        </w:rPr>
        <w:t xml:space="preserve"> </w:t>
      </w:r>
      <w:r w:rsidRPr="001E5E5D">
        <w:rPr>
          <w:rFonts w:ascii="Times New Roman" w:eastAsia="Times New Roman" w:hAnsi="Times New Roman" w:cs="Times New Roman"/>
          <w:i w:val="0"/>
          <w:iCs/>
          <w:color w:val="auto"/>
          <w:sz w:val="24"/>
          <w:szCs w:val="24"/>
        </w:rPr>
        <w:t xml:space="preserve">Luiz </w:t>
      </w:r>
      <w:r w:rsidR="00BB63D2">
        <w:rPr>
          <w:rFonts w:ascii="Times New Roman" w:eastAsia="Times New Roman" w:hAnsi="Times New Roman" w:cs="Times New Roman"/>
          <w:i w:val="0"/>
          <w:iCs/>
          <w:color w:val="auto"/>
          <w:sz w:val="24"/>
          <w:szCs w:val="24"/>
        </w:rPr>
        <w:t xml:space="preserve">Fernando da Costa </w:t>
      </w:r>
      <w:r w:rsidRPr="001E5E5D">
        <w:rPr>
          <w:rFonts w:ascii="Times New Roman" w:eastAsia="Times New Roman" w:hAnsi="Times New Roman" w:cs="Times New Roman"/>
          <w:i w:val="0"/>
          <w:iCs/>
          <w:color w:val="auto"/>
          <w:sz w:val="24"/>
          <w:szCs w:val="24"/>
        </w:rPr>
        <w:t xml:space="preserve">Soares </w:t>
      </w:r>
      <w:r w:rsidRPr="001E5E5D">
        <w:rPr>
          <w:rFonts w:ascii="Times New Roman" w:eastAsia="Times New Roman" w:hAnsi="Times New Roman" w:cs="Times New Roman"/>
          <w:i w:val="0"/>
          <w:iCs/>
          <w:color w:val="auto"/>
          <w:sz w:val="24"/>
          <w:szCs w:val="24"/>
        </w:rPr>
        <w:t>(UERJ)</w:t>
      </w:r>
    </w:p>
    <w:p w14:paraId="00000004" w14:textId="6F81D176" w:rsidR="00FC38E1" w:rsidRPr="00EB42E9" w:rsidRDefault="00BB63D2" w:rsidP="001E5E5D">
      <w:pPr>
        <w:pStyle w:val="Subtitle"/>
        <w:spacing w:before="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rxowcth3dzk3" w:colFirst="0" w:colLast="0"/>
      <w:bookmarkEnd w:id="2"/>
      <w:r>
        <w:rPr>
          <w:rFonts w:ascii="Times New Roman" w:eastAsia="Times New Roman" w:hAnsi="Times New Roman" w:cs="Times New Roman"/>
          <w:i w:val="0"/>
          <w:iCs/>
          <w:color w:val="auto"/>
          <w:sz w:val="24"/>
          <w:szCs w:val="24"/>
        </w:rPr>
        <w:t>Prof. Dr.</w:t>
      </w:r>
      <w:r w:rsidR="00F00D3F" w:rsidRPr="001E5E5D">
        <w:rPr>
          <w:rFonts w:ascii="Times New Roman" w:eastAsia="Times New Roman" w:hAnsi="Times New Roman" w:cs="Times New Roman"/>
          <w:i w:val="0"/>
          <w:iCs/>
          <w:color w:val="auto"/>
          <w:sz w:val="24"/>
          <w:szCs w:val="24"/>
        </w:rPr>
        <w:t xml:space="preserve"> Nabil Araújo (UERJ/FAPERJ</w:t>
      </w:r>
      <w:r>
        <w:rPr>
          <w:rFonts w:ascii="Times New Roman" w:eastAsia="Times New Roman" w:hAnsi="Times New Roman" w:cs="Times New Roman"/>
          <w:i w:val="0"/>
          <w:iCs/>
          <w:color w:val="auto"/>
          <w:sz w:val="24"/>
          <w:szCs w:val="24"/>
        </w:rPr>
        <w:t>)</w:t>
      </w:r>
    </w:p>
    <w:p w14:paraId="00000005" w14:textId="5BBF0A36" w:rsidR="00FC38E1" w:rsidRDefault="00FC38E1" w:rsidP="00EB42E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F7951B" w14:textId="77777777" w:rsidR="00F00D3F" w:rsidRDefault="00F00D3F" w:rsidP="00EB42E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65F0448" w14:textId="77777777" w:rsidR="002623A8" w:rsidRDefault="002623A8" w:rsidP="00EB42E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F86814" w14:textId="320716FC" w:rsidR="001E5E5D" w:rsidRPr="00885DCC" w:rsidRDefault="00BB63D2" w:rsidP="00885D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85D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Resumo: </w:t>
      </w:r>
      <w:r w:rsidR="00885DCC">
        <w:rPr>
          <w:rFonts w:ascii="Times New Roman" w:hAnsi="Times New Roman" w:cs="Times New Roman"/>
          <w:sz w:val="24"/>
          <w:szCs w:val="24"/>
        </w:rPr>
        <w:t>R</w:t>
      </w:r>
      <w:r w:rsidR="00885DCC" w:rsidRPr="00885DCC">
        <w:rPr>
          <w:rFonts w:ascii="Times New Roman" w:hAnsi="Times New Roman" w:cs="Times New Roman"/>
          <w:sz w:val="24"/>
          <w:szCs w:val="24"/>
        </w:rPr>
        <w:t>esultados parciais do projeto "Kafkiana: linhas de força de uma fortuna crítica mundial (</w:t>
      </w:r>
      <w:r w:rsidR="00885DCC" w:rsidRPr="00885DCC">
        <w:rPr>
          <w:rStyle w:val="Emphasis"/>
          <w:rFonts w:ascii="Times New Roman" w:hAnsi="Times New Roman" w:cs="Times New Roman"/>
          <w:sz w:val="24"/>
          <w:szCs w:val="24"/>
        </w:rPr>
        <w:t>world criticism</w:t>
      </w:r>
      <w:r w:rsidR="00885DCC" w:rsidRPr="00885DCC">
        <w:rPr>
          <w:rFonts w:ascii="Times New Roman" w:hAnsi="Times New Roman" w:cs="Times New Roman"/>
          <w:sz w:val="24"/>
          <w:szCs w:val="24"/>
        </w:rPr>
        <w:t>)"</w:t>
      </w:r>
      <w:r w:rsidR="00885DCC">
        <w:rPr>
          <w:rFonts w:ascii="Times New Roman" w:hAnsi="Times New Roman" w:cs="Times New Roman"/>
          <w:sz w:val="24"/>
          <w:szCs w:val="24"/>
        </w:rPr>
        <w:t xml:space="preserve"> (UERJ/FAPERJ),</w:t>
      </w:r>
      <w:r w:rsidR="00885DCC" w:rsidRPr="00885DCC">
        <w:rPr>
          <w:rFonts w:ascii="Times New Roman" w:hAnsi="Times New Roman" w:cs="Times New Roman"/>
          <w:sz w:val="24"/>
          <w:szCs w:val="24"/>
        </w:rPr>
        <w:t xml:space="preserve"> voltado para o levantamento das traduções da “fortuna crítica mundial” de Franz Kafka para a língua portuguesa e para a identificação de suas linhas de força </w:t>
      </w:r>
      <w:r w:rsidR="00885DCC">
        <w:rPr>
          <w:rFonts w:ascii="Times New Roman" w:hAnsi="Times New Roman" w:cs="Times New Roman"/>
          <w:sz w:val="24"/>
          <w:szCs w:val="24"/>
        </w:rPr>
        <w:t>teórico-metodológicas</w:t>
      </w:r>
      <w:r w:rsidR="00885DCC" w:rsidRPr="00885DCC">
        <w:rPr>
          <w:rFonts w:ascii="Times New Roman" w:hAnsi="Times New Roman" w:cs="Times New Roman"/>
          <w:sz w:val="24"/>
          <w:szCs w:val="24"/>
        </w:rPr>
        <w:t>.</w:t>
      </w:r>
    </w:p>
    <w:p w14:paraId="42CA2B0A" w14:textId="1C96EFF2" w:rsidR="00BB63D2" w:rsidRDefault="00BB63D2" w:rsidP="00EB42E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7FCD76" w14:textId="72FA0AB2" w:rsidR="002623A8" w:rsidRDefault="002623A8" w:rsidP="00EB42E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793EE7" w14:textId="77777777" w:rsidR="002623A8" w:rsidRPr="00EB42E9" w:rsidRDefault="002623A8" w:rsidP="00EB42E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6" w14:textId="77777777" w:rsidR="00FC38E1" w:rsidRPr="00EB42E9" w:rsidRDefault="00F00D3F" w:rsidP="00885D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B42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Levantamento bibliográfico da fortuna crítica de Kafka no Brasil: </w:t>
      </w:r>
      <w:r w:rsidRPr="00EB42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metodologia</w:t>
      </w:r>
    </w:p>
    <w:p w14:paraId="00000007" w14:textId="77777777" w:rsidR="00FC38E1" w:rsidRPr="00EB42E9" w:rsidRDefault="00FC38E1" w:rsidP="00EB42E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8" w14:textId="77777777" w:rsidR="00FC38E1" w:rsidRPr="00EB42E9" w:rsidRDefault="00F00D3F" w:rsidP="00622B9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2E9">
        <w:rPr>
          <w:rFonts w:ascii="Times New Roman" w:eastAsia="Times New Roman" w:hAnsi="Times New Roman" w:cs="Times New Roman"/>
          <w:color w:val="000000"/>
          <w:sz w:val="24"/>
          <w:szCs w:val="24"/>
        </w:rPr>
        <w:t>A fim de estabelecermos as perspectivas de uma fortuna crítica mundial de Franz Kafka, mais especificamente das contribuições brasileiras para essa fortuna crítica mundial, e com base nos horizontes teóricos que sustentam essa pesquisa, uma at</w:t>
      </w:r>
      <w:r w:rsidRPr="00EB42E9">
        <w:rPr>
          <w:rFonts w:ascii="Times New Roman" w:eastAsia="Times New Roman" w:hAnsi="Times New Roman" w:cs="Times New Roman"/>
          <w:color w:val="000000"/>
          <w:sz w:val="24"/>
          <w:szCs w:val="24"/>
        </w:rPr>
        <w:t>ividade empírica se fez necessária logo de início: um levantamento bibliográfico tão exaustivo quanto possível, ao modo de um mapeamento. </w:t>
      </w:r>
    </w:p>
    <w:p w14:paraId="00000009" w14:textId="152C05CE" w:rsidR="00FC38E1" w:rsidRPr="00EB42E9" w:rsidRDefault="00F00D3F" w:rsidP="008E48C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42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Tal mapeamento, como foi testado e efetivamente adotado para levantamento relevante de dados, teve como </w:t>
      </w:r>
      <w:r w:rsidRPr="00EB42E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corpus</w:t>
      </w:r>
      <w:r w:rsidRPr="00EB42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aná</w:t>
      </w:r>
      <w:r w:rsidRPr="00EB42E9">
        <w:rPr>
          <w:rFonts w:ascii="Times New Roman" w:eastAsia="Times New Roman" w:hAnsi="Times New Roman" w:cs="Times New Roman"/>
          <w:color w:val="000000"/>
          <w:sz w:val="24"/>
          <w:szCs w:val="24"/>
        </w:rPr>
        <w:t>lise os trabalhos acadêmicos disponibilizados na Biblioteca Digital de Teses e Dissertações da CAPES, com foco em determinadas categorias de produções bibliográficas citadas nesses trabalhos, a saber: (1) obras de Franz Kafka em língua estrangeira; (2) obr</w:t>
      </w:r>
      <w:r w:rsidRPr="00EB42E9">
        <w:rPr>
          <w:rFonts w:ascii="Times New Roman" w:eastAsia="Times New Roman" w:hAnsi="Times New Roman" w:cs="Times New Roman"/>
          <w:color w:val="000000"/>
          <w:sz w:val="24"/>
          <w:szCs w:val="24"/>
        </w:rPr>
        <w:t>as de Kafka traduzidas para a língua portuguesa; (3) fortuna crítica de Kafka em língua estrangeira; (4) fortuna crítica de Kafka traduzida para a língua portuguesa; (5) fortuna crítica de Kafka produzida em língua portuguesa.</w:t>
      </w:r>
    </w:p>
    <w:p w14:paraId="57A8BC88" w14:textId="6035D9FC" w:rsidR="00A22B29" w:rsidRPr="00EB42E9" w:rsidRDefault="00EB09A0" w:rsidP="00EB42E9">
      <w:pPr>
        <w:keepNext/>
        <w:spacing w:after="0" w:line="360" w:lineRule="auto"/>
        <w:ind w:firstLine="708"/>
        <w:jc w:val="both"/>
        <w:rPr>
          <w:sz w:val="24"/>
          <w:szCs w:val="24"/>
        </w:rPr>
      </w:pPr>
      <w:r w:rsidRPr="00EB42E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3144185A" wp14:editId="6CF18E54">
            <wp:extent cx="5400675" cy="3038475"/>
            <wp:effectExtent l="0" t="0" r="0" b="0"/>
            <wp:docPr id="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76842" w14:textId="6C42CCC1" w:rsidR="00BB6D68" w:rsidRPr="00EB42E9" w:rsidRDefault="00A22B29" w:rsidP="00EB42E9">
      <w:pPr>
        <w:pStyle w:val="Caption"/>
        <w:spacing w:line="360" w:lineRule="auto"/>
        <w:jc w:val="center"/>
        <w:rPr>
          <w:rFonts w:ascii="Times New Roman" w:eastAsia="Times New Roman" w:hAnsi="Times New Roman" w:cs="Times New Roman"/>
          <w:i w:val="0"/>
          <w:iCs w:val="0"/>
          <w:color w:val="000000"/>
          <w:sz w:val="20"/>
          <w:szCs w:val="20"/>
        </w:rPr>
      </w:pP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Figura </w:t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begin"/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instrText xml:space="preserve"> SEQ Figura \* ARABIC </w:instrText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separate"/>
      </w:r>
      <w:r w:rsidR="00984478" w:rsidRPr="00EB42E9">
        <w:rPr>
          <w:rFonts w:ascii="Times New Roman" w:hAnsi="Times New Roman" w:cs="Times New Roman"/>
          <w:i w:val="0"/>
          <w:iCs w:val="0"/>
          <w:noProof/>
          <w:sz w:val="20"/>
          <w:szCs w:val="20"/>
        </w:rPr>
        <w:t>1</w:t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end"/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: Resultados do Mapeamento </w:t>
      </w:r>
      <w:r w:rsidR="0074170C"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t>5</w:t>
      </w:r>
    </w:p>
    <w:p w14:paraId="47F3F350" w14:textId="77777777" w:rsidR="00A22B29" w:rsidRPr="00EB42E9" w:rsidRDefault="00A22B29" w:rsidP="00EB42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886F2F" w14:textId="1A026EA8" w:rsidR="0074170C" w:rsidRPr="00EB42E9" w:rsidRDefault="00EB09A0" w:rsidP="00EB42E9">
      <w:pPr>
        <w:keepNext/>
        <w:spacing w:after="0" w:line="360" w:lineRule="auto"/>
        <w:ind w:firstLine="708"/>
        <w:jc w:val="both"/>
        <w:rPr>
          <w:sz w:val="24"/>
          <w:szCs w:val="24"/>
        </w:rPr>
      </w:pPr>
      <w:r w:rsidRPr="00EB42E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DD02DB0" wp14:editId="427E9EE4">
            <wp:extent cx="5400675" cy="3038475"/>
            <wp:effectExtent l="0" t="0" r="0" b="0"/>
            <wp:docPr id="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BE91B" w14:textId="3442ECE6" w:rsidR="00A22B29" w:rsidRPr="00EB42E9" w:rsidRDefault="0074170C" w:rsidP="00EB42E9">
      <w:pPr>
        <w:pStyle w:val="Caption"/>
        <w:spacing w:line="360" w:lineRule="auto"/>
        <w:jc w:val="center"/>
        <w:rPr>
          <w:rFonts w:ascii="Times New Roman" w:eastAsia="Times New Roman" w:hAnsi="Times New Roman" w:cs="Times New Roman"/>
          <w:i w:val="0"/>
          <w:iCs w:val="0"/>
          <w:color w:val="000000"/>
          <w:sz w:val="20"/>
          <w:szCs w:val="20"/>
        </w:rPr>
      </w:pP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Figura </w:t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begin"/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instrText xml:space="preserve"> SEQ Figura \* ARABIC </w:instrText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separate"/>
      </w:r>
      <w:r w:rsidR="00984478" w:rsidRPr="00EB42E9">
        <w:rPr>
          <w:rFonts w:ascii="Times New Roman" w:hAnsi="Times New Roman" w:cs="Times New Roman"/>
          <w:i w:val="0"/>
          <w:iCs w:val="0"/>
          <w:noProof/>
          <w:sz w:val="20"/>
          <w:szCs w:val="20"/>
        </w:rPr>
        <w:t>2</w:t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end"/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t>:  Resultados do Mapeamento 4</w:t>
      </w:r>
    </w:p>
    <w:p w14:paraId="0B3D0C36" w14:textId="400A18DB" w:rsidR="00A22B29" w:rsidRPr="00EB42E9" w:rsidRDefault="00A22B29" w:rsidP="00EB42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33C6E0" w14:textId="0C876DA6" w:rsidR="0074170C" w:rsidRPr="00EB42E9" w:rsidRDefault="00EB09A0" w:rsidP="00EB42E9">
      <w:pPr>
        <w:keepNext/>
        <w:spacing w:after="0" w:line="360" w:lineRule="auto"/>
        <w:ind w:firstLine="708"/>
        <w:jc w:val="both"/>
        <w:rPr>
          <w:sz w:val="24"/>
          <w:szCs w:val="24"/>
        </w:rPr>
      </w:pPr>
      <w:r w:rsidRPr="00EB42E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639667AD" wp14:editId="00878C75">
            <wp:extent cx="5400675" cy="3038475"/>
            <wp:effectExtent l="0" t="0" r="0" b="0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86DF6" w14:textId="02481B34" w:rsidR="00A22B29" w:rsidRPr="00EB42E9" w:rsidRDefault="0074170C" w:rsidP="00EB42E9">
      <w:pPr>
        <w:pStyle w:val="Caption"/>
        <w:spacing w:line="360" w:lineRule="auto"/>
        <w:jc w:val="center"/>
        <w:rPr>
          <w:rFonts w:ascii="Times New Roman" w:eastAsia="Times New Roman" w:hAnsi="Times New Roman" w:cs="Times New Roman"/>
          <w:i w:val="0"/>
          <w:iCs w:val="0"/>
          <w:color w:val="000000"/>
          <w:sz w:val="20"/>
          <w:szCs w:val="20"/>
        </w:rPr>
      </w:pP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Figura </w:t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begin"/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instrText xml:space="preserve"> SEQ Figura \* ARABIC </w:instrText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separate"/>
      </w:r>
      <w:r w:rsidR="00984478" w:rsidRPr="00EB42E9">
        <w:rPr>
          <w:rFonts w:ascii="Times New Roman" w:hAnsi="Times New Roman" w:cs="Times New Roman"/>
          <w:i w:val="0"/>
          <w:iCs w:val="0"/>
          <w:noProof/>
          <w:sz w:val="20"/>
          <w:szCs w:val="20"/>
        </w:rPr>
        <w:t>3</w:t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end"/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t>:  Resultados do Mapeamento 3</w:t>
      </w:r>
    </w:p>
    <w:p w14:paraId="6AAAE378" w14:textId="77777777" w:rsidR="00BB6D68" w:rsidRPr="00EB42E9" w:rsidRDefault="00BB6D68" w:rsidP="00EB42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20257154" w:rsidR="00FC38E1" w:rsidRPr="00EB42E9" w:rsidRDefault="00F00D3F" w:rsidP="008E48C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42E9">
        <w:rPr>
          <w:rFonts w:ascii="Times New Roman" w:eastAsia="Times New Roman" w:hAnsi="Times New Roman" w:cs="Times New Roman"/>
          <w:color w:val="000000"/>
          <w:sz w:val="24"/>
          <w:szCs w:val="24"/>
        </w:rPr>
        <w:t>A partir, portanto, do site da BDTD/CAPES, o mapeamento foi se construindo da seguinte forma: 1) busca pela entrada “Franz Kafka”; 2) acesso ao acervo dos programas de pós-graduação de universidades brasileiras em que se produziram trabalhos nos quais Kafk</w:t>
      </w:r>
      <w:r w:rsidRPr="00EB42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aparece no título e/ou como objeto; 3) acesso direto aos referidos trabalhos (trabalhos de conclusão de curso, dissertações de mestrado e teses de doutorado), com foco prioritário nas referências bibliográficas dos mesmos; 4) recolhimento de informações </w:t>
      </w:r>
      <w:r w:rsidRPr="00EB42E9">
        <w:rPr>
          <w:rFonts w:ascii="Times New Roman" w:eastAsia="Times New Roman" w:hAnsi="Times New Roman" w:cs="Times New Roman"/>
          <w:color w:val="000000"/>
          <w:sz w:val="24"/>
          <w:szCs w:val="24"/>
        </w:rPr>
        <w:t>na seguinte ordem: a) obra literária ou crítica; b) título do trabalho de conclusão de curso, ou dissertação, ou tese; c) nome da universidade; d) área de conhecimento (Letras, Sociologia, Psicologia etc); e) data.</w:t>
      </w:r>
    </w:p>
    <w:p w14:paraId="23601281" w14:textId="3E15C32B" w:rsidR="0074170C" w:rsidRPr="00EB42E9" w:rsidRDefault="00EB09A0" w:rsidP="00EB42E9">
      <w:pPr>
        <w:keepNext/>
        <w:spacing w:after="0" w:line="360" w:lineRule="auto"/>
        <w:ind w:firstLine="708"/>
        <w:jc w:val="both"/>
        <w:rPr>
          <w:sz w:val="24"/>
          <w:szCs w:val="24"/>
        </w:rPr>
      </w:pPr>
      <w:r w:rsidRPr="00EB42E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96E7EF" wp14:editId="41026BE4">
            <wp:extent cx="5400675" cy="303847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96035" w14:textId="61210992" w:rsidR="0074170C" w:rsidRPr="00EB42E9" w:rsidRDefault="0074170C" w:rsidP="00EB42E9">
      <w:pPr>
        <w:pStyle w:val="Caption"/>
        <w:spacing w:line="360" w:lineRule="auto"/>
        <w:jc w:val="center"/>
        <w:rPr>
          <w:rFonts w:ascii="Times New Roman" w:hAnsi="Times New Roman" w:cs="Times New Roman"/>
          <w:i w:val="0"/>
          <w:iCs w:val="0"/>
          <w:sz w:val="20"/>
          <w:szCs w:val="20"/>
        </w:rPr>
      </w:pP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Figura </w:t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begin"/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instrText xml:space="preserve"> SEQ Figura \* ARABIC </w:instrText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separate"/>
      </w:r>
      <w:r w:rsidR="00984478" w:rsidRPr="00EB42E9">
        <w:rPr>
          <w:rFonts w:ascii="Times New Roman" w:hAnsi="Times New Roman" w:cs="Times New Roman"/>
          <w:i w:val="0"/>
          <w:iCs w:val="0"/>
          <w:noProof/>
          <w:sz w:val="20"/>
          <w:szCs w:val="20"/>
        </w:rPr>
        <w:t>4</w:t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end"/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t>: Site da BDTD</w:t>
      </w:r>
    </w:p>
    <w:p w14:paraId="0000000B" w14:textId="77777777" w:rsidR="00FC38E1" w:rsidRPr="00EB42E9" w:rsidRDefault="00F00D3F" w:rsidP="007D26E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2E9">
        <w:rPr>
          <w:rFonts w:ascii="Times New Roman" w:eastAsia="Times New Roman" w:hAnsi="Times New Roman" w:cs="Times New Roman"/>
          <w:color w:val="000000"/>
          <w:sz w:val="24"/>
          <w:szCs w:val="24"/>
        </w:rPr>
        <w:t>O mapeamento construiu-se, assim, a partir das ocorrências dos títulos literários ou críticos e as demais informações sequenciadas e devidamente contabilizadas conforme ocorrências no percurso de verificação e colet</w:t>
      </w:r>
      <w:r w:rsidRPr="00EB42E9">
        <w:rPr>
          <w:rFonts w:ascii="Times New Roman" w:eastAsia="Times New Roman" w:hAnsi="Times New Roman" w:cs="Times New Roman"/>
          <w:color w:val="000000"/>
          <w:sz w:val="24"/>
          <w:szCs w:val="24"/>
        </w:rPr>
        <w:t>a desses dados. </w:t>
      </w:r>
    </w:p>
    <w:p w14:paraId="0000000C" w14:textId="77777777" w:rsidR="00FC38E1" w:rsidRPr="00EB42E9" w:rsidRDefault="00F00D3F" w:rsidP="00EB42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2E9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0D" w14:textId="77777777" w:rsidR="00FC38E1" w:rsidRPr="00EB42E9" w:rsidRDefault="00F00D3F" w:rsidP="007D26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B42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Levantamento bibliográfico da fortuna crítica de Kafka no Brasil: síntese</w:t>
      </w:r>
    </w:p>
    <w:p w14:paraId="0000000E" w14:textId="77777777" w:rsidR="00FC38E1" w:rsidRPr="00EB42E9" w:rsidRDefault="00FC38E1" w:rsidP="00EB42E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F" w14:textId="222669CF" w:rsidR="00FC38E1" w:rsidRPr="00EB42E9" w:rsidRDefault="00F00D3F" w:rsidP="007D26E2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2E9">
        <w:rPr>
          <w:rFonts w:ascii="Times New Roman" w:eastAsia="Times New Roman" w:hAnsi="Times New Roman" w:cs="Times New Roman"/>
          <w:sz w:val="24"/>
          <w:szCs w:val="24"/>
        </w:rPr>
        <w:t>A partir das obras encontradas na pesquisa inicial, foram criados dois documentos com o objetivo de sintetizar e criar os filtros necessários para que os resultados das ocorrências da pesquisa fossem mais acessíveis e visíveis para a compilação dos dados p</w:t>
      </w:r>
      <w:r w:rsidRPr="00EB42E9">
        <w:rPr>
          <w:rFonts w:ascii="Times New Roman" w:eastAsia="Times New Roman" w:hAnsi="Times New Roman" w:cs="Times New Roman"/>
          <w:sz w:val="24"/>
          <w:szCs w:val="24"/>
        </w:rPr>
        <w:t>or objetivos. A primeira foi a revisão dos documentos relativos à: (3) fortuna crítica de Kafka em língua estrangeira; (4) fortuna crítica de Kafka traduzida para a língua portuguesa. Os dados dos documentos foram exportados para planilhas e foram atribuíd</w:t>
      </w:r>
      <w:r w:rsidRPr="00EB42E9">
        <w:rPr>
          <w:rFonts w:ascii="Times New Roman" w:eastAsia="Times New Roman" w:hAnsi="Times New Roman" w:cs="Times New Roman"/>
          <w:sz w:val="24"/>
          <w:szCs w:val="24"/>
        </w:rPr>
        <w:t xml:space="preserve">os os seguintes filtros: Autor, Tradução, Local (cidade), Editora, Ano, Pesquisa (Tese Ou Dissertação), Título, Local (Universidade), Curso/Área e ano. </w:t>
      </w:r>
    </w:p>
    <w:p w14:paraId="00000010" w14:textId="108D9CEA" w:rsidR="00FC38E1" w:rsidRDefault="00F00D3F" w:rsidP="00D853C1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42E9">
        <w:rPr>
          <w:rFonts w:ascii="Times New Roman" w:eastAsia="Times New Roman" w:hAnsi="Times New Roman" w:cs="Times New Roman"/>
          <w:sz w:val="24"/>
          <w:szCs w:val="24"/>
        </w:rPr>
        <w:t>Esse levantamento nos permitiu deixar as informações organizadas e os filtros trazem a liberdade de con</w:t>
      </w:r>
      <w:r w:rsidRPr="00EB42E9">
        <w:rPr>
          <w:rFonts w:ascii="Times New Roman" w:eastAsia="Times New Roman" w:hAnsi="Times New Roman" w:cs="Times New Roman"/>
          <w:sz w:val="24"/>
          <w:szCs w:val="24"/>
        </w:rPr>
        <w:t xml:space="preserve">seguir setorizar a busca e o que desejamos mensurar. Seguindo para a segunda fase, </w:t>
      </w:r>
      <w:r w:rsidR="007D26E2">
        <w:rPr>
          <w:rFonts w:ascii="Times New Roman" w:eastAsia="Times New Roman" w:hAnsi="Times New Roman" w:cs="Times New Roman"/>
          <w:sz w:val="24"/>
          <w:szCs w:val="24"/>
        </w:rPr>
        <w:t>reconhecemos</w:t>
      </w:r>
      <w:r w:rsidRPr="00EB42E9">
        <w:rPr>
          <w:rFonts w:ascii="Times New Roman" w:eastAsia="Times New Roman" w:hAnsi="Times New Roman" w:cs="Times New Roman"/>
          <w:sz w:val="24"/>
          <w:szCs w:val="24"/>
        </w:rPr>
        <w:t xml:space="preserve"> a necessidade de desenhar uma primeira aba de resultados da pesquisa. Com o objetivo de dimensionar e quantificar </w:t>
      </w:r>
      <w:r w:rsidRPr="00EB42E9">
        <w:rPr>
          <w:rFonts w:ascii="Times New Roman" w:eastAsia="Times New Roman" w:hAnsi="Times New Roman" w:cs="Times New Roman"/>
          <w:sz w:val="24"/>
          <w:szCs w:val="24"/>
        </w:rPr>
        <w:lastRenderedPageBreak/>
        <w:t>quais autores mais possuem ocorrências e em q</w:t>
      </w:r>
      <w:r w:rsidRPr="00EB42E9">
        <w:rPr>
          <w:rFonts w:ascii="Times New Roman" w:eastAsia="Times New Roman" w:hAnsi="Times New Roman" w:cs="Times New Roman"/>
          <w:sz w:val="24"/>
          <w:szCs w:val="24"/>
        </w:rPr>
        <w:t xml:space="preserve">ual área e/ou região eles são mais citados, criamos uma aba que mostra os resultados iniciais contendo os seguintes recortes: Obra/Autor, Total de Ocorrências, Ocorrências por área e Ocorrência por Universidade. </w:t>
      </w:r>
      <w:r w:rsidRPr="00EB42E9">
        <w:rPr>
          <w:rFonts w:ascii="Times New Roman" w:eastAsia="Times New Roman" w:hAnsi="Times New Roman" w:cs="Times New Roman"/>
          <w:color w:val="000000"/>
          <w:sz w:val="24"/>
          <w:szCs w:val="24"/>
        </w:rPr>
        <w:t>Assim, conseguimos mapear quais au</w:t>
      </w:r>
      <w:r w:rsidRPr="00EB42E9">
        <w:rPr>
          <w:rFonts w:ascii="Times New Roman" w:eastAsia="Times New Roman" w:hAnsi="Times New Roman" w:cs="Times New Roman"/>
          <w:sz w:val="24"/>
          <w:szCs w:val="24"/>
        </w:rPr>
        <w:t xml:space="preserve">tores </w:t>
      </w:r>
      <w:r w:rsidR="007D26E2">
        <w:rPr>
          <w:rFonts w:ascii="Times New Roman" w:eastAsia="Times New Roman" w:hAnsi="Times New Roman" w:cs="Times New Roman"/>
          <w:sz w:val="24"/>
          <w:szCs w:val="24"/>
        </w:rPr>
        <w:t>têm sido</w:t>
      </w:r>
      <w:r w:rsidRPr="00EB42E9">
        <w:rPr>
          <w:rFonts w:ascii="Times New Roman" w:eastAsia="Times New Roman" w:hAnsi="Times New Roman" w:cs="Times New Roman"/>
          <w:sz w:val="24"/>
          <w:szCs w:val="24"/>
        </w:rPr>
        <w:t xml:space="preserve"> mais relevantes </w:t>
      </w:r>
      <w:r w:rsidRPr="00EB42E9">
        <w:rPr>
          <w:rFonts w:ascii="Times New Roman" w:eastAsia="Times New Roman" w:hAnsi="Times New Roman" w:cs="Times New Roman"/>
          <w:sz w:val="24"/>
          <w:szCs w:val="24"/>
        </w:rPr>
        <w:t xml:space="preserve">para a </w:t>
      </w:r>
      <w:r w:rsidR="00D853C1">
        <w:rPr>
          <w:rFonts w:ascii="Times New Roman" w:eastAsia="Times New Roman" w:hAnsi="Times New Roman" w:cs="Times New Roman"/>
          <w:sz w:val="24"/>
          <w:szCs w:val="24"/>
        </w:rPr>
        <w:t xml:space="preserve">consolidação de uma </w:t>
      </w:r>
      <w:r w:rsidRPr="00EB42E9">
        <w:rPr>
          <w:rFonts w:ascii="Times New Roman" w:eastAsia="Times New Roman" w:hAnsi="Times New Roman" w:cs="Times New Roman"/>
          <w:sz w:val="24"/>
          <w:szCs w:val="24"/>
        </w:rPr>
        <w:t xml:space="preserve">fortuna crítica </w:t>
      </w:r>
      <w:r w:rsidR="007D26E2">
        <w:rPr>
          <w:rFonts w:ascii="Times New Roman" w:eastAsia="Times New Roman" w:hAnsi="Times New Roman" w:cs="Times New Roman"/>
          <w:sz w:val="24"/>
          <w:szCs w:val="24"/>
        </w:rPr>
        <w:t>de</w:t>
      </w:r>
      <w:r w:rsidRPr="00EB42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Kafka no </w:t>
      </w:r>
      <w:r w:rsidRPr="00EB42E9">
        <w:rPr>
          <w:rFonts w:ascii="Times New Roman" w:eastAsia="Times New Roman" w:hAnsi="Times New Roman" w:cs="Times New Roman"/>
          <w:sz w:val="24"/>
          <w:szCs w:val="24"/>
        </w:rPr>
        <w:t xml:space="preserve">Brasil. Além disso, é possível tomar em volume quais áreas do conhecimento mais produziram sobre o tema </w:t>
      </w:r>
      <w:r w:rsidRPr="00EB42E9">
        <w:rPr>
          <w:rFonts w:ascii="Times New Roman" w:eastAsia="Times New Roman" w:hAnsi="Times New Roman" w:cs="Times New Roman"/>
          <w:color w:val="000000"/>
          <w:sz w:val="24"/>
          <w:szCs w:val="24"/>
        </w:rPr>
        <w:t>e em quais universidades/programas de pós-graduação.</w:t>
      </w:r>
    </w:p>
    <w:p w14:paraId="4E236942" w14:textId="77777777" w:rsidR="00EB42E9" w:rsidRPr="00EB42E9" w:rsidRDefault="00EB42E9" w:rsidP="00EB42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4D01BCE" w14:textId="6F4C62A9" w:rsidR="004E14B3" w:rsidRPr="00EB42E9" w:rsidRDefault="00EB09A0" w:rsidP="007D26E2">
      <w:pPr>
        <w:keepNext/>
        <w:spacing w:after="0" w:line="360" w:lineRule="auto"/>
        <w:ind w:firstLine="708"/>
        <w:jc w:val="center"/>
        <w:rPr>
          <w:sz w:val="24"/>
          <w:szCs w:val="24"/>
        </w:rPr>
      </w:pPr>
      <w:r w:rsidRPr="00EB42E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B7FEA22" wp14:editId="43F9D1AE">
            <wp:simplePos x="1714500" y="3000375"/>
            <wp:positionH relativeFrom="margin">
              <wp:align>center</wp:align>
            </wp:positionH>
            <wp:positionV relativeFrom="margin">
              <wp:align>center</wp:align>
            </wp:positionV>
            <wp:extent cx="5400675" cy="3038475"/>
            <wp:effectExtent l="0" t="0" r="9525" b="9525"/>
            <wp:wrapSquare wrapText="bothSides"/>
            <wp:docPr id="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4DE448" w14:textId="77AD35D3" w:rsidR="004E14B3" w:rsidRPr="00EB42E9" w:rsidRDefault="004E14B3" w:rsidP="00EB42E9">
      <w:pPr>
        <w:pStyle w:val="Caption"/>
        <w:spacing w:line="360" w:lineRule="auto"/>
        <w:jc w:val="center"/>
        <w:rPr>
          <w:rFonts w:ascii="Times New Roman" w:hAnsi="Times New Roman" w:cs="Times New Roman"/>
          <w:i w:val="0"/>
          <w:iCs w:val="0"/>
          <w:sz w:val="20"/>
          <w:szCs w:val="20"/>
        </w:rPr>
      </w:pP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Figura </w:t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begin"/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instrText xml:space="preserve"> SEQ Figura \* ARABIC </w:instrText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separate"/>
      </w:r>
      <w:r w:rsidR="00984478" w:rsidRPr="00EB42E9">
        <w:rPr>
          <w:rFonts w:ascii="Times New Roman" w:hAnsi="Times New Roman" w:cs="Times New Roman"/>
          <w:i w:val="0"/>
          <w:iCs w:val="0"/>
          <w:noProof/>
          <w:sz w:val="20"/>
          <w:szCs w:val="20"/>
        </w:rPr>
        <w:t>5</w:t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end"/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t>: Levantamento de dados 4</w:t>
      </w:r>
    </w:p>
    <w:p w14:paraId="3084C5EA" w14:textId="77777777" w:rsidR="004E14B3" w:rsidRPr="00EB42E9" w:rsidRDefault="004E14B3" w:rsidP="00EB42E9">
      <w:pPr>
        <w:spacing w:line="360" w:lineRule="auto"/>
        <w:jc w:val="both"/>
        <w:rPr>
          <w:sz w:val="24"/>
          <w:szCs w:val="24"/>
        </w:rPr>
      </w:pPr>
    </w:p>
    <w:p w14:paraId="429004DD" w14:textId="4137D5CC" w:rsidR="004E14B3" w:rsidRPr="00EB42E9" w:rsidRDefault="00EB09A0" w:rsidP="00EB42E9">
      <w:pPr>
        <w:keepNext/>
        <w:spacing w:after="0" w:line="360" w:lineRule="auto"/>
        <w:ind w:firstLine="708"/>
        <w:jc w:val="both"/>
        <w:rPr>
          <w:sz w:val="24"/>
          <w:szCs w:val="24"/>
        </w:rPr>
      </w:pPr>
      <w:r w:rsidRPr="00EB42E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525876" wp14:editId="6797AF95">
            <wp:extent cx="5391150" cy="3038475"/>
            <wp:effectExtent l="0" t="0" r="0" b="0"/>
            <wp:docPr id="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9C258" w14:textId="66698B44" w:rsidR="004E14B3" w:rsidRPr="00EB42E9" w:rsidRDefault="004E14B3" w:rsidP="00EB42E9">
      <w:pPr>
        <w:pStyle w:val="Caption"/>
        <w:spacing w:line="360" w:lineRule="auto"/>
        <w:jc w:val="center"/>
        <w:rPr>
          <w:rFonts w:ascii="Times New Roman" w:eastAsia="Times New Roman" w:hAnsi="Times New Roman" w:cs="Times New Roman"/>
          <w:i w:val="0"/>
          <w:iCs w:val="0"/>
          <w:sz w:val="20"/>
          <w:szCs w:val="20"/>
        </w:rPr>
      </w:pP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Figura </w:t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begin"/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instrText xml:space="preserve"> SEQ Figura \* ARABIC </w:instrText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separate"/>
      </w:r>
      <w:r w:rsidR="00984478" w:rsidRPr="00EB42E9">
        <w:rPr>
          <w:rFonts w:ascii="Times New Roman" w:hAnsi="Times New Roman" w:cs="Times New Roman"/>
          <w:i w:val="0"/>
          <w:iCs w:val="0"/>
          <w:noProof/>
          <w:sz w:val="20"/>
          <w:szCs w:val="20"/>
        </w:rPr>
        <w:t>6</w:t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end"/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t>: Levantamento de dados 3</w:t>
      </w:r>
    </w:p>
    <w:p w14:paraId="2D499050" w14:textId="77777777" w:rsidR="004E14B3" w:rsidRPr="00EB42E9" w:rsidRDefault="004E14B3" w:rsidP="00EB42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B0DA27" w14:textId="544BE2C3" w:rsidR="004E14B3" w:rsidRPr="00EB42E9" w:rsidRDefault="00F00D3F" w:rsidP="00D853C1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2E9">
        <w:rPr>
          <w:rFonts w:ascii="Times New Roman" w:eastAsia="Times New Roman" w:hAnsi="Times New Roman" w:cs="Times New Roman"/>
          <w:sz w:val="24"/>
          <w:szCs w:val="24"/>
        </w:rPr>
        <w:t xml:space="preserve">Por exemplo, já conseguimos identificar que </w:t>
      </w:r>
      <w:r w:rsidR="00D853C1">
        <w:rPr>
          <w:rFonts w:ascii="Times New Roman" w:eastAsia="Times New Roman" w:hAnsi="Times New Roman" w:cs="Times New Roman"/>
          <w:sz w:val="24"/>
          <w:szCs w:val="24"/>
        </w:rPr>
        <w:t>o texto</w:t>
      </w:r>
      <w:r w:rsidRPr="00EB42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853C1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D853C1">
        <w:rPr>
          <w:rFonts w:ascii="Times New Roman" w:eastAsia="Times New Roman" w:hAnsi="Times New Roman" w:cs="Times New Roman"/>
          <w:iCs/>
          <w:sz w:val="24"/>
          <w:szCs w:val="24"/>
        </w:rPr>
        <w:t>ADORNO, T. W.</w:t>
      </w:r>
      <w:r w:rsidRPr="00EB42E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D853C1">
        <w:rPr>
          <w:rFonts w:ascii="Times New Roman" w:eastAsia="Times New Roman" w:hAnsi="Times New Roman" w:cs="Times New Roman"/>
          <w:iCs/>
          <w:sz w:val="24"/>
          <w:szCs w:val="24"/>
        </w:rPr>
        <w:t>Anotações sobre Kafka. In: ______.</w:t>
      </w:r>
      <w:r w:rsidRPr="00EB42E9">
        <w:rPr>
          <w:rFonts w:ascii="Times New Roman" w:eastAsia="Times New Roman" w:hAnsi="Times New Roman" w:cs="Times New Roman"/>
          <w:i/>
          <w:sz w:val="24"/>
          <w:szCs w:val="24"/>
        </w:rPr>
        <w:t xml:space="preserve"> Prismas</w:t>
      </w:r>
      <w:r w:rsidRPr="00D853C1">
        <w:rPr>
          <w:rFonts w:ascii="Times New Roman" w:eastAsia="Times New Roman" w:hAnsi="Times New Roman" w:cs="Times New Roman"/>
          <w:iCs/>
          <w:sz w:val="24"/>
          <w:szCs w:val="24"/>
        </w:rPr>
        <w:t xml:space="preserve">: </w:t>
      </w:r>
      <w:r w:rsidR="00D853C1">
        <w:rPr>
          <w:rFonts w:ascii="Times New Roman" w:eastAsia="Times New Roman" w:hAnsi="Times New Roman" w:cs="Times New Roman"/>
          <w:iCs/>
          <w:sz w:val="24"/>
          <w:szCs w:val="24"/>
        </w:rPr>
        <w:t>c</w:t>
      </w:r>
      <w:r w:rsidRPr="00D853C1">
        <w:rPr>
          <w:rFonts w:ascii="Times New Roman" w:eastAsia="Times New Roman" w:hAnsi="Times New Roman" w:cs="Times New Roman"/>
          <w:iCs/>
          <w:sz w:val="24"/>
          <w:szCs w:val="24"/>
        </w:rPr>
        <w:t>rítica cultural e sociedade</w:t>
      </w:r>
      <w:r w:rsidRPr="00EB42E9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D853C1">
        <w:rPr>
          <w:rFonts w:ascii="Times New Roman" w:eastAsia="Times New Roman" w:hAnsi="Times New Roman" w:cs="Times New Roman"/>
          <w:iCs/>
          <w:sz w:val="24"/>
          <w:szCs w:val="24"/>
        </w:rPr>
        <w:t>Trad. Augustin Wernet e Jorge M</w:t>
      </w:r>
      <w:r w:rsidR="00D853C1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Pr="00D853C1">
        <w:rPr>
          <w:rFonts w:ascii="Times New Roman" w:eastAsia="Times New Roman" w:hAnsi="Times New Roman" w:cs="Times New Roman"/>
          <w:iCs/>
          <w:sz w:val="24"/>
          <w:szCs w:val="24"/>
        </w:rPr>
        <w:t xml:space="preserve"> B</w:t>
      </w:r>
      <w:r w:rsidR="00D853C1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Pr="00D853C1">
        <w:rPr>
          <w:rFonts w:ascii="Times New Roman" w:eastAsia="Times New Roman" w:hAnsi="Times New Roman" w:cs="Times New Roman"/>
          <w:iCs/>
          <w:sz w:val="24"/>
          <w:szCs w:val="24"/>
        </w:rPr>
        <w:t xml:space="preserve"> de Almeida. São Paulo: Ática, 1998</w:t>
      </w:r>
      <w:r w:rsidRPr="00D853C1">
        <w:rPr>
          <w:rFonts w:ascii="Times New Roman" w:eastAsia="Times New Roman" w:hAnsi="Times New Roman" w:cs="Times New Roman"/>
          <w:iCs/>
          <w:sz w:val="24"/>
          <w:szCs w:val="24"/>
        </w:rPr>
        <w:t>. p. 239-270</w:t>
      </w:r>
      <w:r w:rsidR="00D853C1">
        <w:rPr>
          <w:rFonts w:ascii="Times New Roman" w:eastAsia="Times New Roman" w:hAnsi="Times New Roman" w:cs="Times New Roman"/>
          <w:iCs/>
          <w:sz w:val="24"/>
          <w:szCs w:val="24"/>
        </w:rPr>
        <w:t>”</w:t>
      </w:r>
      <w:r w:rsidRPr="00EB42E9">
        <w:rPr>
          <w:rFonts w:ascii="Times New Roman" w:eastAsia="Times New Roman" w:hAnsi="Times New Roman" w:cs="Times New Roman"/>
          <w:sz w:val="24"/>
          <w:szCs w:val="24"/>
        </w:rPr>
        <w:t xml:space="preserve"> foi a obra mais citada pelas universidades brasileiras</w:t>
      </w:r>
      <w:r w:rsidR="00D853C1">
        <w:rPr>
          <w:rFonts w:ascii="Times New Roman" w:eastAsia="Times New Roman" w:hAnsi="Times New Roman" w:cs="Times New Roman"/>
          <w:sz w:val="24"/>
          <w:szCs w:val="24"/>
        </w:rPr>
        <w:t>, nas seguintes</w:t>
      </w:r>
      <w:r w:rsidRPr="00EB42E9">
        <w:rPr>
          <w:rFonts w:ascii="Times New Roman" w:eastAsia="Times New Roman" w:hAnsi="Times New Roman" w:cs="Times New Roman"/>
          <w:sz w:val="24"/>
          <w:szCs w:val="24"/>
        </w:rPr>
        <w:t xml:space="preserve"> áreas de pe</w:t>
      </w:r>
      <w:r w:rsidRPr="00EB42E9">
        <w:rPr>
          <w:rFonts w:ascii="Times New Roman" w:eastAsia="Times New Roman" w:hAnsi="Times New Roman" w:cs="Times New Roman"/>
          <w:sz w:val="24"/>
          <w:szCs w:val="24"/>
        </w:rPr>
        <w:t>squisa</w:t>
      </w:r>
      <w:r w:rsidRPr="00EB42E9">
        <w:rPr>
          <w:rFonts w:ascii="Times New Roman" w:eastAsia="Times New Roman" w:hAnsi="Times New Roman" w:cs="Times New Roman"/>
          <w:sz w:val="24"/>
          <w:szCs w:val="24"/>
        </w:rPr>
        <w:t>: Letras (12), Estudos Literários (6), Estudos da Linguagem (3), Filosofia (2), Ciências Sociais (1), Linguística (1), Psicologia Escolar e Desenvolvimento Humano (1), Sociologia (1) e Teologia (1). São Paulo foi o estad</w:t>
      </w:r>
      <w:r w:rsidRPr="00EB42E9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="00D853C1">
        <w:rPr>
          <w:rFonts w:ascii="Times New Roman" w:eastAsia="Times New Roman" w:hAnsi="Times New Roman" w:cs="Times New Roman"/>
          <w:sz w:val="24"/>
          <w:szCs w:val="24"/>
        </w:rPr>
        <w:t>cujas</w:t>
      </w:r>
      <w:r w:rsidRPr="00EB42E9">
        <w:rPr>
          <w:rFonts w:ascii="Times New Roman" w:eastAsia="Times New Roman" w:hAnsi="Times New Roman" w:cs="Times New Roman"/>
          <w:sz w:val="24"/>
          <w:szCs w:val="24"/>
        </w:rPr>
        <w:t xml:space="preserve"> universidades mais </w:t>
      </w:r>
      <w:r w:rsidR="00D853C1">
        <w:rPr>
          <w:rFonts w:ascii="Times New Roman" w:eastAsia="Times New Roman" w:hAnsi="Times New Roman" w:cs="Times New Roman"/>
          <w:sz w:val="24"/>
          <w:szCs w:val="24"/>
        </w:rPr>
        <w:t>fizeram referência ao referido texto de Adorno</w:t>
      </w:r>
      <w:r w:rsidRPr="00EB42E9">
        <w:rPr>
          <w:rFonts w:ascii="Times New Roman" w:eastAsia="Times New Roman" w:hAnsi="Times New Roman" w:cs="Times New Roman"/>
          <w:sz w:val="24"/>
          <w:szCs w:val="24"/>
        </w:rPr>
        <w:t>: USP (7), UNICAMP (3), UNESP (1) e PUC-SP (1).</w:t>
      </w:r>
    </w:p>
    <w:p w14:paraId="00000012" w14:textId="3922B59F" w:rsidR="00FC38E1" w:rsidRPr="00EB42E9" w:rsidRDefault="00F00D3F" w:rsidP="00D853C1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2E9">
        <w:rPr>
          <w:rFonts w:ascii="Times New Roman" w:eastAsia="Times New Roman" w:hAnsi="Times New Roman" w:cs="Times New Roman"/>
          <w:sz w:val="24"/>
          <w:szCs w:val="24"/>
        </w:rPr>
        <w:t xml:space="preserve">Dessa forma, </w:t>
      </w:r>
      <w:r w:rsidR="00D853C1">
        <w:rPr>
          <w:rFonts w:ascii="Times New Roman" w:eastAsia="Times New Roman" w:hAnsi="Times New Roman" w:cs="Times New Roman"/>
          <w:sz w:val="24"/>
          <w:szCs w:val="24"/>
        </w:rPr>
        <w:t>conseguimos</w:t>
      </w:r>
      <w:r w:rsidRPr="00EB42E9">
        <w:rPr>
          <w:rFonts w:ascii="Times New Roman" w:eastAsia="Times New Roman" w:hAnsi="Times New Roman" w:cs="Times New Roman"/>
          <w:sz w:val="24"/>
          <w:szCs w:val="24"/>
        </w:rPr>
        <w:t xml:space="preserve"> visualizar </w:t>
      </w:r>
      <w:r w:rsidR="00D853C1">
        <w:rPr>
          <w:rFonts w:ascii="Times New Roman" w:eastAsia="Times New Roman" w:hAnsi="Times New Roman" w:cs="Times New Roman"/>
          <w:sz w:val="24"/>
          <w:szCs w:val="24"/>
        </w:rPr>
        <w:t xml:space="preserve">de forma bastante segmentada </w:t>
      </w:r>
      <w:r w:rsidRPr="00EB42E9">
        <w:rPr>
          <w:rFonts w:ascii="Times New Roman" w:eastAsia="Times New Roman" w:hAnsi="Times New Roman" w:cs="Times New Roman"/>
          <w:sz w:val="24"/>
          <w:szCs w:val="24"/>
        </w:rPr>
        <w:t xml:space="preserve">os resultados encontrados e seguir para um olhar mais </w:t>
      </w:r>
      <w:r w:rsidRPr="00EB42E9">
        <w:rPr>
          <w:rFonts w:ascii="Times New Roman" w:eastAsia="Times New Roman" w:hAnsi="Times New Roman" w:cs="Times New Roman"/>
          <w:sz w:val="24"/>
          <w:szCs w:val="24"/>
        </w:rPr>
        <w:t>qualitativo e com recortes específicos acerca das questões que norteiam o trabalho sobre a fortuna crítica mundial de Kafka no Brasil e suas principais linhas de força</w:t>
      </w:r>
      <w:r w:rsidR="00D853C1">
        <w:rPr>
          <w:rFonts w:ascii="Times New Roman" w:eastAsia="Times New Roman" w:hAnsi="Times New Roman" w:cs="Times New Roman"/>
          <w:sz w:val="24"/>
          <w:szCs w:val="24"/>
        </w:rPr>
        <w:t xml:space="preserve"> teórico-metodológicas</w:t>
      </w:r>
      <w:r w:rsidRPr="00EB42E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789911A" w14:textId="13905E6D" w:rsidR="004E14B3" w:rsidRPr="00EB42E9" w:rsidRDefault="004E14B3" w:rsidP="00EB42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FC36AF" w14:textId="369D8D2E" w:rsidR="004E14B3" w:rsidRPr="00EB42E9" w:rsidRDefault="00EB09A0" w:rsidP="00EB42E9">
      <w:pPr>
        <w:keepNext/>
        <w:spacing w:after="0" w:line="360" w:lineRule="auto"/>
        <w:jc w:val="both"/>
        <w:rPr>
          <w:sz w:val="24"/>
          <w:szCs w:val="24"/>
        </w:rPr>
      </w:pPr>
      <w:r w:rsidRPr="00EB42E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0EE2AD" wp14:editId="4DE072B6">
            <wp:extent cx="5400675" cy="3028950"/>
            <wp:effectExtent l="0" t="0" r="0" b="0"/>
            <wp:docPr id="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3361E" w14:textId="1B32EC21" w:rsidR="004E14B3" w:rsidRPr="00EB42E9" w:rsidRDefault="004E14B3" w:rsidP="00EB42E9">
      <w:pPr>
        <w:pStyle w:val="Caption"/>
        <w:spacing w:line="360" w:lineRule="auto"/>
        <w:jc w:val="center"/>
        <w:rPr>
          <w:rFonts w:ascii="Times New Roman" w:eastAsia="Times New Roman" w:hAnsi="Times New Roman" w:cs="Times New Roman"/>
          <w:i w:val="0"/>
          <w:iCs w:val="0"/>
          <w:sz w:val="20"/>
          <w:szCs w:val="20"/>
        </w:rPr>
      </w:pP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Figura </w:t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begin"/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instrText xml:space="preserve"> SEQ Figura \* ARABIC </w:instrText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separate"/>
      </w:r>
      <w:r w:rsidR="00984478" w:rsidRPr="00EB42E9">
        <w:rPr>
          <w:rFonts w:ascii="Times New Roman" w:hAnsi="Times New Roman" w:cs="Times New Roman"/>
          <w:i w:val="0"/>
          <w:iCs w:val="0"/>
          <w:noProof/>
          <w:sz w:val="20"/>
          <w:szCs w:val="20"/>
        </w:rPr>
        <w:t>7</w:t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fldChar w:fldCharType="end"/>
      </w:r>
      <w:r w:rsidRPr="00EB42E9">
        <w:rPr>
          <w:rFonts w:ascii="Times New Roman" w:hAnsi="Times New Roman" w:cs="Times New Roman"/>
          <w:i w:val="0"/>
          <w:iCs w:val="0"/>
          <w:sz w:val="20"/>
          <w:szCs w:val="20"/>
        </w:rPr>
        <w:t>: Resultado de Pesquisa 5</w:t>
      </w:r>
    </w:p>
    <w:p w14:paraId="00000013" w14:textId="77777777" w:rsidR="00FC38E1" w:rsidRPr="00EB42E9" w:rsidRDefault="00FC38E1" w:rsidP="00EB42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4" w14:textId="77777777" w:rsidR="00FC38E1" w:rsidRPr="00EB42E9" w:rsidRDefault="00F00D3F" w:rsidP="00D853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B42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Levantamento </w:t>
      </w:r>
      <w:r w:rsidRPr="00EB42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bibliográfico da fortuna crítica de Kafka no Brasil: análise qualitativa</w:t>
      </w:r>
    </w:p>
    <w:p w14:paraId="00000015" w14:textId="77777777" w:rsidR="00FC38E1" w:rsidRPr="00EB42E9" w:rsidRDefault="00FC38E1" w:rsidP="00EB42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6" w14:textId="77777777" w:rsidR="00FC38E1" w:rsidRPr="00EB42E9" w:rsidRDefault="00F00D3F" w:rsidP="00D853C1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42E9">
        <w:rPr>
          <w:rFonts w:ascii="Times New Roman" w:eastAsia="Times New Roman" w:hAnsi="Times New Roman" w:cs="Times New Roman"/>
          <w:color w:val="000000"/>
          <w:sz w:val="24"/>
          <w:szCs w:val="24"/>
        </w:rPr>
        <w:t>Após a fase de levantamento de dados, a partir da mencionada metodologia, e da fase de revisão e síntese dos dados coletados, a pesquisa atingirá um momento de análise qualitativa do</w:t>
      </w:r>
      <w:r w:rsidRPr="00EB42E9">
        <w:rPr>
          <w:rFonts w:ascii="Times New Roman" w:eastAsia="Times New Roman" w:hAnsi="Times New Roman" w:cs="Times New Roman"/>
          <w:color w:val="000000"/>
          <w:sz w:val="24"/>
          <w:szCs w:val="24"/>
        </w:rPr>
        <w:t>s dados coletados, a fim de identificar, inicialmente, os autores e as obras predominantes na fortuna crítica mundial de Kafka no Brasil, bem como, na sequência, as principais linhas de força dessa fortuna crítica, tomando como fundamentação teórica para i</w:t>
      </w:r>
      <w:r w:rsidRPr="00EB42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sso o livro </w:t>
      </w:r>
      <w:r w:rsidRPr="00EB42E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Teoria da Literatura e História da Crítica: momentos decisivos</w:t>
      </w:r>
      <w:r w:rsidRPr="00EB42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(EdUERJ, 2020), de Nabil Araújo.</w:t>
      </w:r>
    </w:p>
    <w:p w14:paraId="00000017" w14:textId="083FAE62" w:rsidR="00FC38E1" w:rsidRPr="00EB42E9" w:rsidRDefault="00F00D3F" w:rsidP="00D853C1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42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Essa etapa partirá de um cotejo do levantamento (3) – fortuna crítica de Kafka em língua estrangeira – com o levantamento (4) – fortuna crítica de </w:t>
      </w:r>
      <w:r w:rsidRPr="00EB42E9">
        <w:rPr>
          <w:rFonts w:ascii="Times New Roman" w:eastAsia="Times New Roman" w:hAnsi="Times New Roman" w:cs="Times New Roman"/>
          <w:color w:val="000000"/>
          <w:sz w:val="24"/>
          <w:szCs w:val="24"/>
        </w:rPr>
        <w:t>Kafka traduzida para a língua portuguesa –, de modo a se determinar que autores/obras aparecem, eventualmente, apenas em um dos dois levantamentos, e, sobretudo, autores/obras que, aparecendo nos dois, integram o que se poderia efetivamente chamar de fortu</w:t>
      </w:r>
      <w:r w:rsidRPr="00EB42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crítica mundial de Kafka no Brasil, devendo-se identificar, então, suas principais linhas de força </w:t>
      </w:r>
      <w:r w:rsidR="00D853C1">
        <w:rPr>
          <w:rFonts w:ascii="Times New Roman" w:eastAsia="Times New Roman" w:hAnsi="Times New Roman" w:cs="Times New Roman"/>
          <w:color w:val="000000"/>
          <w:sz w:val="24"/>
          <w:szCs w:val="24"/>
        </w:rPr>
        <w:t>teórico-metodológicas</w:t>
      </w:r>
      <w:r w:rsidRPr="00EB42E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2A019DA" w14:textId="24D80FF6" w:rsidR="00984478" w:rsidRPr="00EB42E9" w:rsidRDefault="00EB09A0" w:rsidP="00EB42E9">
      <w:pPr>
        <w:keepNext/>
        <w:spacing w:after="0" w:line="360" w:lineRule="auto"/>
        <w:ind w:firstLine="720"/>
        <w:jc w:val="both"/>
        <w:rPr>
          <w:sz w:val="24"/>
          <w:szCs w:val="24"/>
        </w:rPr>
      </w:pPr>
      <w:r w:rsidRPr="00EB42E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074AF6" wp14:editId="4B15F801">
            <wp:extent cx="5400675" cy="2867025"/>
            <wp:effectExtent l="0" t="0" r="0" b="0"/>
            <wp:docPr id="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67F1A" w14:textId="592BB341" w:rsidR="00984478" w:rsidRPr="00EB42E9" w:rsidRDefault="00984478" w:rsidP="00EB42E9">
      <w:pPr>
        <w:pStyle w:val="Caption"/>
        <w:spacing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B42E9">
        <w:rPr>
          <w:rFonts w:ascii="Times New Roman" w:hAnsi="Times New Roman" w:cs="Times New Roman"/>
          <w:sz w:val="20"/>
          <w:szCs w:val="20"/>
        </w:rPr>
        <w:t xml:space="preserve">Figura </w:t>
      </w:r>
      <w:r w:rsidRPr="00EB42E9">
        <w:rPr>
          <w:rFonts w:ascii="Times New Roman" w:hAnsi="Times New Roman" w:cs="Times New Roman"/>
          <w:sz w:val="20"/>
          <w:szCs w:val="20"/>
        </w:rPr>
        <w:fldChar w:fldCharType="begin"/>
      </w:r>
      <w:r w:rsidRPr="00EB42E9">
        <w:rPr>
          <w:rFonts w:ascii="Times New Roman" w:hAnsi="Times New Roman" w:cs="Times New Roman"/>
          <w:sz w:val="20"/>
          <w:szCs w:val="20"/>
        </w:rPr>
        <w:instrText xml:space="preserve"> SEQ Figura \* ARABIC </w:instrText>
      </w:r>
      <w:r w:rsidRPr="00EB42E9">
        <w:rPr>
          <w:rFonts w:ascii="Times New Roman" w:hAnsi="Times New Roman" w:cs="Times New Roman"/>
          <w:sz w:val="20"/>
          <w:szCs w:val="20"/>
        </w:rPr>
        <w:fldChar w:fldCharType="separate"/>
      </w:r>
      <w:r w:rsidRPr="00EB42E9">
        <w:rPr>
          <w:rFonts w:ascii="Times New Roman" w:hAnsi="Times New Roman" w:cs="Times New Roman"/>
          <w:noProof/>
          <w:sz w:val="20"/>
          <w:szCs w:val="20"/>
        </w:rPr>
        <w:t>8</w:t>
      </w:r>
      <w:r w:rsidRPr="00EB42E9">
        <w:rPr>
          <w:rFonts w:ascii="Times New Roman" w:hAnsi="Times New Roman" w:cs="Times New Roman"/>
          <w:sz w:val="20"/>
          <w:szCs w:val="20"/>
        </w:rPr>
        <w:fldChar w:fldCharType="end"/>
      </w:r>
      <w:r w:rsidRPr="00EB42E9">
        <w:rPr>
          <w:rFonts w:ascii="Times New Roman" w:hAnsi="Times New Roman" w:cs="Times New Roman"/>
          <w:sz w:val="20"/>
          <w:szCs w:val="20"/>
        </w:rPr>
        <w:t>: Gráfico com os principais autores (3 e 4)</w:t>
      </w:r>
    </w:p>
    <w:p w14:paraId="00000018" w14:textId="0CD7AC19" w:rsidR="00FC38E1" w:rsidRPr="00EB42E9" w:rsidRDefault="00F00D3F" w:rsidP="00EB42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2E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A etapa seguinte consistirá na análise do </w:t>
      </w:r>
      <w:r w:rsidRPr="00EB42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levantamento (5) – fortuna crítica de Kafka produzida em língua portuguesa –, de modo a se determinar em que medida autores/obras que o constituem são impactados por autores/obras dos levantamentos (3) e (4), identificando-se, aí, ademais, suas principais </w:t>
      </w:r>
      <w:r w:rsidRPr="00EB42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linhas de força </w:t>
      </w:r>
      <w:r w:rsidR="005F5170">
        <w:rPr>
          <w:rFonts w:ascii="Times New Roman" w:eastAsia="Times New Roman" w:hAnsi="Times New Roman" w:cs="Times New Roman"/>
          <w:color w:val="000000"/>
          <w:sz w:val="24"/>
          <w:szCs w:val="24"/>
        </w:rPr>
        <w:t>teórico-metodológicas</w:t>
      </w:r>
      <w:r w:rsidRPr="00EB42E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sectPr w:rsidR="00FC38E1" w:rsidRPr="00EB42E9" w:rsidSect="00EB42E9">
      <w:pgSz w:w="11906" w:h="16838" w:code="9"/>
      <w:pgMar w:top="1418" w:right="1985" w:bottom="1418" w:left="1985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3C04F1"/>
    <w:multiLevelType w:val="multilevel"/>
    <w:tmpl w:val="912E1E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8E1"/>
    <w:rsid w:val="001E5E5D"/>
    <w:rsid w:val="002623A8"/>
    <w:rsid w:val="004E14B3"/>
    <w:rsid w:val="005F5170"/>
    <w:rsid w:val="00622B91"/>
    <w:rsid w:val="0074170C"/>
    <w:rsid w:val="007D26E2"/>
    <w:rsid w:val="00885DCC"/>
    <w:rsid w:val="008E48CC"/>
    <w:rsid w:val="00984478"/>
    <w:rsid w:val="00A22B29"/>
    <w:rsid w:val="00BB63D2"/>
    <w:rsid w:val="00BB6D68"/>
    <w:rsid w:val="00D853C1"/>
    <w:rsid w:val="00EB09A0"/>
    <w:rsid w:val="00EB42E9"/>
    <w:rsid w:val="00F00D3F"/>
    <w:rsid w:val="00FC3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E9779"/>
  <w15:docId w15:val="{71B59687-B8AA-4CA8-B6A1-8A8828CF9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pPr>
      <w:spacing w:after="160" w:line="259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F41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413BF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ption">
    <w:name w:val="caption"/>
    <w:basedOn w:val="Normal"/>
    <w:next w:val="Normal"/>
    <w:uiPriority w:val="35"/>
    <w:unhideWhenUsed/>
    <w:qFormat/>
    <w:rsid w:val="00A22B29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885D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iWN9YqmKObCcVRZ4A+6rWmxPFQ==">AMUW2mWKIGUDhbfQPPaF/kte9zxDE0KHQH3V8FwGIqpOlOlqfsRF9v39Us9ru4sn0XyZu6h3DDwfZavG7YRKI9HFTHDtd3FpSOpapTXItRo6XanGC8xhrEVZA93pSB8fyL5Bg4ZybuxpQaUBkifN8UJc3ghDy9w3zhkPrmpNEcWVxG+Pccd9q5Y=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1116</Words>
  <Characters>5994</Characters>
  <Application>Microsoft Office Word</Application>
  <DocSecurity>0</DocSecurity>
  <Lines>103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Nabil Araújo</dc:creator>
  <cp:lastModifiedBy>Nabil Araújo</cp:lastModifiedBy>
  <cp:revision>9</cp:revision>
  <dcterms:created xsi:type="dcterms:W3CDTF">2022-11-30T15:06:00Z</dcterms:created>
  <dcterms:modified xsi:type="dcterms:W3CDTF">2022-11-30T15:38:00Z</dcterms:modified>
</cp:coreProperties>
</file>