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25" w:rsidRPr="00471056" w:rsidRDefault="0008724C" w:rsidP="00790D25">
      <w:pPr>
        <w:pStyle w:val="1Ttulodeltrabajo"/>
        <w:rPr>
          <w:color w:val="auto"/>
        </w:rPr>
      </w:pPr>
      <w:r w:rsidRPr="00471056">
        <w:rPr>
          <w:color w:val="auto"/>
        </w:rPr>
        <w:t xml:space="preserve"> </w:t>
      </w:r>
      <w:r w:rsidR="00790D25" w:rsidRPr="00471056">
        <w:rPr>
          <w:color w:val="auto"/>
        </w:rPr>
        <w:t xml:space="preserve">La casada </w:t>
      </w:r>
      <w:proofErr w:type="spellStart"/>
      <w:r w:rsidR="00790D25" w:rsidRPr="00471056">
        <w:rPr>
          <w:color w:val="auto"/>
        </w:rPr>
        <w:t>im</w:t>
      </w:r>
      <w:proofErr w:type="spellEnd"/>
      <w:r w:rsidR="00790D25" w:rsidRPr="00471056">
        <w:rPr>
          <w:color w:val="auto"/>
        </w:rPr>
        <w:t xml:space="preserve">/perfecta pos-tridentina. Entre el reconocimiento y el castigo. </w:t>
      </w:r>
    </w:p>
    <w:p w:rsidR="00790D25" w:rsidRPr="00DB399C" w:rsidRDefault="00790D25" w:rsidP="00790D25">
      <w:pPr>
        <w:pStyle w:val="2aAutordecaptulo"/>
      </w:pPr>
      <w:r>
        <w:t xml:space="preserve">Rene Aldo </w:t>
      </w:r>
      <w:proofErr w:type="spellStart"/>
      <w:r>
        <w:t>Vijarra</w:t>
      </w:r>
      <w:proofErr w:type="spellEnd"/>
      <w:r>
        <w:t xml:space="preserve"> / Facultad de Filosofía y Humanidades. Universidad Nacional de Córdoba. renevijarra@hotmail.com</w:t>
      </w:r>
    </w:p>
    <w:p w:rsidR="00790D25" w:rsidRPr="00471056" w:rsidRDefault="00B8683C" w:rsidP="00B8683C">
      <w:pPr>
        <w:pStyle w:val="Palabrasclave"/>
        <w:rPr>
          <w:color w:val="auto"/>
        </w:rPr>
      </w:pPr>
      <w:r w:rsidRPr="00471056">
        <w:rPr>
          <w:color w:val="auto"/>
        </w:rPr>
        <w:t xml:space="preserve">Palabras claves: España del XVI- </w:t>
      </w:r>
      <w:r w:rsidR="00440BCF" w:rsidRPr="00471056">
        <w:rPr>
          <w:color w:val="auto"/>
        </w:rPr>
        <w:t xml:space="preserve">dispositivo </w:t>
      </w:r>
      <w:r w:rsidR="007301E8" w:rsidRPr="00471056">
        <w:rPr>
          <w:color w:val="auto"/>
        </w:rPr>
        <w:t>discurs</w:t>
      </w:r>
      <w:r w:rsidR="00440BCF" w:rsidRPr="00471056">
        <w:rPr>
          <w:color w:val="auto"/>
        </w:rPr>
        <w:t xml:space="preserve">ivo </w:t>
      </w:r>
      <w:r w:rsidR="007301E8" w:rsidRPr="00471056">
        <w:rPr>
          <w:color w:val="auto"/>
        </w:rPr>
        <w:t xml:space="preserve"> - la casada ideal</w:t>
      </w:r>
    </w:p>
    <w:p w:rsidR="003E53E9" w:rsidRDefault="003E53E9" w:rsidP="003E53E9">
      <w:pPr>
        <w:pStyle w:val="31Subttulo1"/>
      </w:pPr>
      <w:r>
        <w:t>Resumen</w:t>
      </w:r>
    </w:p>
    <w:p w:rsidR="003E53E9" w:rsidRDefault="003E53E9" w:rsidP="003E53E9">
      <w:pPr>
        <w:pStyle w:val="4Textocentral"/>
      </w:pPr>
      <w:r w:rsidRPr="00BE6C83">
        <w:t>La concepción del matrimonio cristiano quedó definida</w:t>
      </w:r>
      <w:r>
        <w:t xml:space="preserve"> por el Concilio de Trento (1545</w:t>
      </w:r>
      <w:r w:rsidRPr="00BE6C83">
        <w:t xml:space="preserve">-63) en donde la iglesia </w:t>
      </w:r>
      <w:proofErr w:type="spellStart"/>
      <w:r w:rsidRPr="00BE6C83">
        <w:t>contrarreformista</w:t>
      </w:r>
      <w:proofErr w:type="spellEnd"/>
      <w:r w:rsidRPr="00BE6C83">
        <w:t xml:space="preserve"> buscó incrementar su poder sobre l</w:t>
      </w:r>
      <w:r>
        <w:t>os contrayentes</w:t>
      </w:r>
      <w:r w:rsidRPr="00BE6C83">
        <w:t xml:space="preserve"> y su</w:t>
      </w:r>
      <w:r>
        <w:t>s</w:t>
      </w:r>
      <w:r w:rsidRPr="00BE6C83">
        <w:t xml:space="preserve"> familia</w:t>
      </w:r>
      <w:r>
        <w:t>s</w:t>
      </w:r>
      <w:r w:rsidRPr="00BE6C83">
        <w:t xml:space="preserve"> al declararse únicamente válido el matrimonio celebrado</w:t>
      </w:r>
      <w:r>
        <w:t xml:space="preserve"> en la iglesia ante un clérigo</w:t>
      </w:r>
      <w:r w:rsidRPr="00BE6C83">
        <w:t>.</w:t>
      </w:r>
      <w:r>
        <w:t xml:space="preserve"> España a partir del reinado de Felipe II adoptó lo acordado en el Concilio en la sesión XXIV en donde por medio  del decreto </w:t>
      </w:r>
      <w:proofErr w:type="spellStart"/>
      <w:r w:rsidRPr="00C77C60">
        <w:t>Tametsi</w:t>
      </w:r>
      <w:proofErr w:type="spellEnd"/>
      <w:r w:rsidRPr="00C77C60">
        <w:t xml:space="preserve"> </w:t>
      </w:r>
      <w:r>
        <w:t>se regulaba</w:t>
      </w:r>
      <w:r w:rsidRPr="00C77C60">
        <w:t xml:space="preserve"> la unión del hombre con la mujer para </w:t>
      </w:r>
      <w:r>
        <w:t xml:space="preserve">con-formar </w:t>
      </w:r>
      <w:r w:rsidRPr="00C77C60">
        <w:t>el matrimonio cristiano.</w:t>
      </w:r>
      <w:r w:rsidRPr="009200D9">
        <w:t xml:space="preserve"> </w:t>
      </w:r>
      <w:r>
        <w:t xml:space="preserve"> A partir de las ideas generadas en Trento, l</w:t>
      </w:r>
      <w:r w:rsidRPr="006D4F1A">
        <w:t>a iglesia</w:t>
      </w:r>
      <w:r>
        <w:t xml:space="preserve"> española en tanto</w:t>
      </w:r>
      <w:r w:rsidRPr="006D4F1A">
        <w:t xml:space="preserve"> institución </w:t>
      </w:r>
      <w:r>
        <w:t>controladora de la fe, la moral, las buenas costumbres y</w:t>
      </w:r>
      <w:r w:rsidRPr="006D4F1A">
        <w:t xml:space="preserve"> </w:t>
      </w:r>
      <w:proofErr w:type="spellStart"/>
      <w:r w:rsidRPr="006D4F1A">
        <w:t>normativizadora</w:t>
      </w:r>
      <w:proofErr w:type="spellEnd"/>
      <w:r w:rsidRPr="006D4F1A">
        <w:t xml:space="preserve"> de la heterosexualidad</w:t>
      </w:r>
      <w:r>
        <w:t xml:space="preserve"> inspiró y avaló </w:t>
      </w:r>
      <w:r w:rsidRPr="006D4F1A">
        <w:t xml:space="preserve"> una serie de  discursos tendientes a controlar las almas y los cuerpos de sus fieles.</w:t>
      </w:r>
      <w:r>
        <w:t xml:space="preserve"> </w:t>
      </w:r>
      <w:r w:rsidRPr="006D4F1A">
        <w:t xml:space="preserve"> </w:t>
      </w:r>
      <w:r>
        <w:rPr>
          <w:i/>
        </w:rPr>
        <w:t>La perfecta c</w:t>
      </w:r>
      <w:r w:rsidRPr="006D4F1A">
        <w:rPr>
          <w:i/>
        </w:rPr>
        <w:t>asada</w:t>
      </w:r>
      <w:r>
        <w:t xml:space="preserve"> </w:t>
      </w:r>
      <w:r w:rsidRPr="006D4F1A">
        <w:t xml:space="preserve"> </w:t>
      </w:r>
      <w:r>
        <w:t>de Fray Luis de León (1583) se inscribe</w:t>
      </w:r>
      <w:r w:rsidRPr="006D4F1A">
        <w:t xml:space="preserve"> dentro de esos discurso</w:t>
      </w:r>
      <w:r>
        <w:t>s hegemónicos que colaboraron en la forma</w:t>
      </w:r>
      <w:r w:rsidRPr="006D4F1A">
        <w:t>c</w:t>
      </w:r>
      <w:r>
        <w:t>ión de la figura de la casada. Para Fray Luis, el estado matrimonial  “sujeta” a las mujeres</w:t>
      </w:r>
      <w:r w:rsidR="00D06711">
        <w:t xml:space="preserve"> a una condición</w:t>
      </w:r>
      <w:r>
        <w:t xml:space="preserve">  y para el correcto cumplimiento de sus deberes de casada “propone”  una serie de  funciones específicas para alcanzar el estado  perfecto: “</w:t>
      </w:r>
      <w:r w:rsidRPr="00411F97">
        <w:t>servir al marido</w:t>
      </w:r>
      <w:r>
        <w:t>”,</w:t>
      </w:r>
      <w:r w:rsidRPr="00411F97">
        <w:t xml:space="preserve"> </w:t>
      </w:r>
      <w:r>
        <w:t>“</w:t>
      </w:r>
      <w:r w:rsidRPr="00411F97">
        <w:t>gobernar la familia</w:t>
      </w:r>
      <w:r>
        <w:t xml:space="preserve">”, </w:t>
      </w:r>
      <w:r w:rsidRPr="00411F97">
        <w:t xml:space="preserve"> </w:t>
      </w:r>
      <w:r>
        <w:t>“</w:t>
      </w:r>
      <w:r w:rsidRPr="00411F97">
        <w:t>la crianza de los hijos</w:t>
      </w:r>
      <w:r>
        <w:t xml:space="preserve">”, </w:t>
      </w:r>
      <w:r w:rsidRPr="00411F97">
        <w:t xml:space="preserve"> </w:t>
      </w:r>
      <w:r>
        <w:t xml:space="preserve">“el </w:t>
      </w:r>
      <w:r w:rsidRPr="00411F97">
        <w:t>temor de Dios y a la guarda y limpieza de la conciencia</w:t>
      </w:r>
      <w:r>
        <w:t>”.  En este modelo ejemplar “no hay cosa más rica ni más feliz que la buena mujer, ni peor ni más desastrada que</w:t>
      </w:r>
      <w:r w:rsidR="002601A6">
        <w:t xml:space="preserve"> la casada que no lo es (…)”. Con</w:t>
      </w:r>
      <w:r>
        <w:t xml:space="preserve"> esta perspectiva, el agente social  establece una representación de la “buena” y la “mala” mujer y su consecuente premio y castigo. El presente trabajo pretende mostrar  la representación de mujer española </w:t>
      </w:r>
      <w:proofErr w:type="spellStart"/>
      <w:r>
        <w:t>postridentina</w:t>
      </w:r>
      <w:proofErr w:type="spellEnd"/>
      <w:r>
        <w:t xml:space="preserve"> llevada a cabo en el manual de conducta del agente Fray Luis</w:t>
      </w:r>
      <w:r w:rsidRPr="007301E8">
        <w:t>. Este discurso funcionó  como un dispositivo disciplinario en donde las  conductas oscilan entre el pecado y el delito y siempre  presente la  amenaza del castigo.</w:t>
      </w:r>
      <w:r>
        <w:t xml:space="preserve"> </w:t>
      </w:r>
    </w:p>
    <w:p w:rsidR="003E53E9" w:rsidRPr="00B37122" w:rsidRDefault="00B37122" w:rsidP="00B37122">
      <w:pPr>
        <w:pStyle w:val="31Subttulo1"/>
      </w:pPr>
      <w:r w:rsidRPr="00B37122">
        <w:t>El matrimonio cristiano</w:t>
      </w:r>
    </w:p>
    <w:p w:rsidR="00790D25" w:rsidRPr="00DB399C" w:rsidRDefault="00790D25" w:rsidP="00790D25">
      <w:pPr>
        <w:pStyle w:val="4Textocentral"/>
      </w:pPr>
      <w:r w:rsidRPr="00DB399C">
        <w:t xml:space="preserve">  La concepción del matrimonio cristiano quedó definida por el Concilio de Trento (1545-63) en donde la iglesia </w:t>
      </w:r>
      <w:proofErr w:type="spellStart"/>
      <w:r w:rsidRPr="00DB399C">
        <w:t>contrarreformista</w:t>
      </w:r>
      <w:proofErr w:type="spellEnd"/>
      <w:r w:rsidRPr="00DB399C">
        <w:t xml:space="preserve"> buscó incrementar su poder sobre los contrayentes y sus familias al declararse únicamente válido el matrimonio celebrado en la Casa de Dios. “Su condición de compromiso público, sagrado, y sobre todo indisoluble, suponía un claro ataque al matrimonio protestante, concebido como un compromiso civil que teóricamente podía romperse” (</w:t>
      </w:r>
      <w:r w:rsidR="00D06711" w:rsidRPr="00DB399C">
        <w:t>Mínguez</w:t>
      </w:r>
      <w:r w:rsidRPr="00DB399C">
        <w:t xml:space="preserve"> </w:t>
      </w:r>
      <w:r w:rsidRPr="00DB399C">
        <w:lastRenderedPageBreak/>
        <w:t>Blasco,</w:t>
      </w:r>
      <w:r w:rsidR="009C7251">
        <w:t xml:space="preserve"> 2012:3). </w:t>
      </w:r>
      <w:r w:rsidRPr="00DB399C">
        <w:t xml:space="preserve">España a partir del reinado de Felipe II </w:t>
      </w:r>
      <w:r w:rsidR="00185203">
        <w:t xml:space="preserve">(1556-98) </w:t>
      </w:r>
      <w:r w:rsidRPr="00DB399C">
        <w:t xml:space="preserve">adoptó lo acordado en el Concilio en la sesión XXIV, conocida como el decreto </w:t>
      </w:r>
      <w:proofErr w:type="spellStart"/>
      <w:r w:rsidRPr="00DB399C">
        <w:t>Tametsi</w:t>
      </w:r>
      <w:proofErr w:type="spellEnd"/>
      <w:r w:rsidRPr="00DB399C">
        <w:rPr>
          <w:rStyle w:val="Refdenotaalpie"/>
          <w:rFonts w:ascii="Times New Roman" w:hAnsi="Times New Roman"/>
          <w:sz w:val="24"/>
        </w:rPr>
        <w:footnoteReference w:id="1"/>
      </w:r>
      <w:r w:rsidRPr="00DB399C">
        <w:t xml:space="preserve"> que regulaba la unión entre </w:t>
      </w:r>
      <w:r>
        <w:t xml:space="preserve">el </w:t>
      </w:r>
      <w:r w:rsidRPr="00DB399C">
        <w:t>hombre y la mujer para formar la institución del matrimonio cristiano.</w:t>
      </w:r>
    </w:p>
    <w:p w:rsidR="00790D25" w:rsidRPr="00DB399C" w:rsidRDefault="00790D25" w:rsidP="00790D25">
      <w:pPr>
        <w:pStyle w:val="4Textocentral"/>
      </w:pPr>
      <w:r w:rsidRPr="00DB399C">
        <w:t xml:space="preserve">   Muchos de </w:t>
      </w:r>
      <w:r w:rsidR="00903BBF">
        <w:t>aquel</w:t>
      </w:r>
      <w:r w:rsidRPr="00DB399C">
        <w:t xml:space="preserve">los matrimonios se acompañaban de un contrato ante notario, en donde se dejaba constancia de la dote y el ajuar, así como las modalidades de pago de las arras nupciales que debía aportar el novio. Para </w:t>
      </w:r>
      <w:proofErr w:type="spellStart"/>
      <w:r w:rsidRPr="00DB399C">
        <w:t>Bennassar</w:t>
      </w:r>
      <w:proofErr w:type="spellEnd"/>
      <w:r w:rsidRPr="00DB399C">
        <w:t xml:space="preserve">, “el carácter negociado del matrimonio no significaba que los jóvenes no tuvieran ninguna posibilidad de elección de pareja y que el amor estuviese ausente del matrimonio”  (2001:81). </w:t>
      </w:r>
      <w:r w:rsidRPr="006B4697">
        <w:rPr>
          <w:rStyle w:val="Negrita"/>
          <w:b w:val="0"/>
        </w:rPr>
        <w:t>“Nada maquinen contra la libertad del Matrimonio los señores temporales, ni los magistrados”, así reza</w:t>
      </w:r>
      <w:r w:rsidRPr="00DB399C">
        <w:rPr>
          <w:rStyle w:val="Textoennegrita"/>
          <w:rFonts w:ascii="Times New Roman" w:hAnsi="Times New Roman"/>
          <w:sz w:val="24"/>
        </w:rPr>
        <w:t xml:space="preserve"> e</w:t>
      </w:r>
      <w:r w:rsidRPr="00DB399C">
        <w:t xml:space="preserve">l capítulo IX del decreto </w:t>
      </w:r>
      <w:proofErr w:type="spellStart"/>
      <w:r w:rsidRPr="00DB399C">
        <w:t>Tametsi</w:t>
      </w:r>
      <w:proofErr w:type="spellEnd"/>
      <w:r w:rsidRPr="00DB399C">
        <w:t xml:space="preserve"> y,</w:t>
      </w:r>
      <w:r w:rsidRPr="00DB399C">
        <w:rPr>
          <w:rStyle w:val="Textoennegrita"/>
          <w:rFonts w:ascii="Times New Roman" w:hAnsi="Times New Roman"/>
          <w:sz w:val="24"/>
        </w:rPr>
        <w:t xml:space="preserve"> </w:t>
      </w:r>
      <w:r w:rsidRPr="006B4697">
        <w:rPr>
          <w:rStyle w:val="Textoennegrita"/>
          <w:rFonts w:ascii="Times New Roman" w:hAnsi="Times New Roman"/>
          <w:b w:val="0"/>
          <w:sz w:val="24"/>
        </w:rPr>
        <w:t xml:space="preserve">de este modo se  propiciaba la libre elección de los contrayentes. En la práctica, una libertad  limitada  que solo consistía  en que </w:t>
      </w:r>
      <w:r w:rsidRPr="00DB399C">
        <w:rPr>
          <w:rStyle w:val="Textoennegrita"/>
          <w:rFonts w:ascii="Times New Roman" w:hAnsi="Times New Roman"/>
          <w:sz w:val="24"/>
        </w:rPr>
        <w:t xml:space="preserve"> </w:t>
      </w:r>
      <w:r w:rsidRPr="00DB399C">
        <w:t xml:space="preserve"> la opción paterna o de los tutores no fuera del todo contra la voluntad de los hijos o tutelados. “De hecho, la mayoría de los jóvenes consintieron la propuesta de casamiento de sus progenitores o familia, estando todos educados en la aceptación de la voluntad paterna” (</w:t>
      </w:r>
      <w:proofErr w:type="spellStart"/>
      <w:r w:rsidRPr="00DB399C">
        <w:t>Torremocha</w:t>
      </w:r>
      <w:proofErr w:type="spellEnd"/>
      <w:r w:rsidRPr="00DB399C">
        <w:t xml:space="preserve"> Hernández, 2010: 58). </w:t>
      </w:r>
    </w:p>
    <w:p w:rsidR="00903BBF" w:rsidRPr="00DB399C" w:rsidRDefault="00790D25" w:rsidP="00903BBF">
      <w:pPr>
        <w:pStyle w:val="4Textocentral"/>
      </w:pPr>
      <w:r w:rsidRPr="00DB399C">
        <w:t xml:space="preserve">  Los moralistas y clérigos españoles no miraban con buenos ojos la idea de  libre elección de los jóvenes quienes guiados por el atractivo corporal y bajo el impulso del amor  </w:t>
      </w:r>
      <w:r>
        <w:t xml:space="preserve"> podían errar en es</w:t>
      </w:r>
      <w:r w:rsidRPr="00DB399C">
        <w:t>a decisión trascendental para sus vidas. Los únicos liberados de la pasión amor</w:t>
      </w:r>
      <w:r w:rsidR="004009BD">
        <w:t>osa</w:t>
      </w:r>
      <w:r w:rsidR="00B37122">
        <w:t xml:space="preserve"> </w:t>
      </w:r>
      <w:r w:rsidR="004009BD">
        <w:t>-</w:t>
      </w:r>
      <w:r w:rsidR="00B37122">
        <w:t>padres, hermanos o tutores</w:t>
      </w:r>
      <w:r w:rsidR="004009BD">
        <w:t>-</w:t>
      </w:r>
      <w:r w:rsidRPr="00DB399C">
        <w:t xml:space="preserve"> eran los habilitados para la correcta elección de</w:t>
      </w:r>
      <w:r w:rsidR="00660BAF">
        <w:t>l</w:t>
      </w:r>
      <w:r w:rsidR="00C9374D">
        <w:t xml:space="preserve"> </w:t>
      </w:r>
      <w:r w:rsidR="00660BAF">
        <w:t xml:space="preserve"> contrayente</w:t>
      </w:r>
      <w:r w:rsidR="00C9374D">
        <w:t xml:space="preserve"> pero,  </w:t>
      </w:r>
      <w:r w:rsidR="00185203">
        <w:t xml:space="preserve"> además existía </w:t>
      </w:r>
      <w:r w:rsidRPr="00DB399C">
        <w:t xml:space="preserve"> otra fuerte razón  </w:t>
      </w:r>
      <w:r w:rsidR="00185203">
        <w:t>para objetar la</w:t>
      </w:r>
      <w:r w:rsidR="004009BD">
        <w:t xml:space="preserve"> decisión personal </w:t>
      </w:r>
      <w:r w:rsidR="00C9374D">
        <w:t>del varón y la mujer</w:t>
      </w:r>
      <w:r w:rsidR="00660BAF">
        <w:t xml:space="preserve"> ya </w:t>
      </w:r>
      <w:r w:rsidR="00C9374D">
        <w:t xml:space="preserve"> que </w:t>
      </w:r>
      <w:r w:rsidR="00660BAF">
        <w:t xml:space="preserve">existía  la preocupación por </w:t>
      </w:r>
      <w:r w:rsidRPr="00DB399C">
        <w:t>algún tipo de movilidad social</w:t>
      </w:r>
      <w:r w:rsidR="00660BAF">
        <w:t xml:space="preserve"> que se pudiera promover a través del matrimonio</w:t>
      </w:r>
      <w:r w:rsidRPr="00DB399C">
        <w:t>. “La sociedad no buscaba el amor entre los esposos, buscaba el matrimonio entre iguales, y esto es lo que se debía respetar, pues las bases sociales se podían trastocar si se</w:t>
      </w:r>
      <w:r w:rsidR="002213EE">
        <w:t xml:space="preserve"> </w:t>
      </w:r>
      <w:r w:rsidRPr="00DB399C">
        <w:t>permitía la libre opción” (</w:t>
      </w:r>
      <w:proofErr w:type="spellStart"/>
      <w:r w:rsidRPr="00DB399C">
        <w:t>Torremocha</w:t>
      </w:r>
      <w:proofErr w:type="spellEnd"/>
      <w:r w:rsidRPr="00DB399C">
        <w:t xml:space="preserve"> Hernández, 2010: 67).</w:t>
      </w:r>
    </w:p>
    <w:p w:rsidR="00790D25" w:rsidRPr="00DB399C" w:rsidRDefault="00790D25" w:rsidP="00790D25">
      <w:pPr>
        <w:pStyle w:val="4Textocentral"/>
      </w:pPr>
      <w:r w:rsidRPr="00DB399C">
        <w:t xml:space="preserve">  Si bien, el matrimonio era considerado  un estado moralmente inferior respecto al celibato eclesiástico, no por ello menos importante, “por la necesidad que hay de él en el mundo, - dice Fray Luis- para que se conserven los hombres, y para que salgan de ellos los que nacen para ser hijos de Dios” (</w:t>
      </w:r>
      <w:r w:rsidR="006B4697">
        <w:t>1999:</w:t>
      </w:r>
      <w:r w:rsidRPr="00DB399C">
        <w:t>14).</w:t>
      </w:r>
    </w:p>
    <w:p w:rsidR="00790D25" w:rsidRPr="002601A6" w:rsidRDefault="00790D25" w:rsidP="00790D25">
      <w:pPr>
        <w:spacing w:after="0" w:line="360" w:lineRule="auto"/>
        <w:jc w:val="both"/>
        <w:rPr>
          <w:rFonts w:ascii="Times New Roman" w:hAnsi="Times New Roman"/>
          <w:sz w:val="24"/>
          <w:szCs w:val="24"/>
          <w:lang w:val="es-ES"/>
        </w:rPr>
      </w:pPr>
    </w:p>
    <w:p w:rsidR="00790D25" w:rsidRPr="00716CE9" w:rsidRDefault="00790D25" w:rsidP="00716CE9">
      <w:pPr>
        <w:pStyle w:val="31Subttulo1"/>
      </w:pPr>
      <w:r w:rsidRPr="00903BBF">
        <w:rPr>
          <w:rStyle w:val="NegritaCursiva"/>
        </w:rPr>
        <w:t>La perfecta casada</w:t>
      </w:r>
      <w:r>
        <w:t xml:space="preserve"> como </w:t>
      </w:r>
      <w:r w:rsidRPr="00DB399C">
        <w:t xml:space="preserve"> dispositivo</w:t>
      </w:r>
      <w:r w:rsidRPr="00DB399C">
        <w:rPr>
          <w:lang w:eastAsia="es-AR"/>
        </w:rPr>
        <w:t xml:space="preserve"> </w:t>
      </w:r>
      <w:r>
        <w:rPr>
          <w:lang w:eastAsia="es-AR"/>
        </w:rPr>
        <w:t xml:space="preserve"> </w:t>
      </w:r>
      <w:proofErr w:type="spellStart"/>
      <w:r>
        <w:rPr>
          <w:lang w:eastAsia="es-AR"/>
        </w:rPr>
        <w:t>disciplinador</w:t>
      </w:r>
      <w:proofErr w:type="spellEnd"/>
    </w:p>
    <w:p w:rsidR="00790D25" w:rsidRPr="003D7F18" w:rsidRDefault="00790D25" w:rsidP="003D7F18">
      <w:pPr>
        <w:pStyle w:val="4Textocentral"/>
      </w:pPr>
      <w:r w:rsidRPr="00DB399C">
        <w:t xml:space="preserve">  Foucault sostiene que a lo largo del siglo XVII y XVIII hubo toda una invención de las formas de poder </w:t>
      </w:r>
      <w:proofErr w:type="gramStart"/>
      <w:r w:rsidRPr="00DB399C">
        <w:t>a</w:t>
      </w:r>
      <w:proofErr w:type="gramEnd"/>
      <w:r w:rsidRPr="00DB399C">
        <w:t xml:space="preserve"> las que denomina “tecnología política” cuyos mecanismos  controlaron cosas </w:t>
      </w:r>
      <w:r w:rsidR="002601A6">
        <w:t xml:space="preserve">y </w:t>
      </w:r>
      <w:r w:rsidRPr="00DB399C">
        <w:lastRenderedPageBreak/>
        <w:t>personas:</w:t>
      </w:r>
    </w:p>
    <w:p w:rsidR="00790D25" w:rsidRPr="00DB399C" w:rsidRDefault="00790D25" w:rsidP="006B4697">
      <w:pPr>
        <w:pStyle w:val="5Citaenprrafoaparte"/>
      </w:pPr>
      <w:r w:rsidRPr="00DB399C">
        <w:t xml:space="preserve"> De un lado existe esta tecnología que llamaría  </w:t>
      </w:r>
      <w:r w:rsidRPr="00DB399C">
        <w:rPr>
          <w:i/>
        </w:rPr>
        <w:t>disciplina</w:t>
      </w:r>
      <w:r w:rsidRPr="00DB399C">
        <w:t>. Disciplina es, en el fondo, el mecanismo de poder por el cual alcanzamos a controlar el cuerpo social hasta los elementos más tenues por los cuales llegamos a tocar los propios átomos sociales, eso es, los individuos. Técnicas de individualización del poder. Cómo vigilar a alguien, cómo controlar su conducta, su comportamiento, sus aptitudes, cómo intensificar su rendimiento, cómo multiplicar sus capacidades, cómo colocarlo en el lugar donde será más útil, esto es lo que es, a mi modo de ver, la disciplin</w:t>
      </w:r>
      <w:r w:rsidR="00B37122">
        <w:t>a  (Foucault,</w:t>
      </w:r>
      <w:r w:rsidRPr="00DB399C">
        <w:t xml:space="preserve"> 1991:15).  </w:t>
      </w:r>
    </w:p>
    <w:p w:rsidR="00790D25" w:rsidRPr="00B37122" w:rsidRDefault="00790D25" w:rsidP="00790D25">
      <w:pPr>
        <w:pStyle w:val="Textonotapie"/>
        <w:spacing w:line="360" w:lineRule="auto"/>
        <w:jc w:val="both"/>
        <w:rPr>
          <w:rFonts w:ascii="Times New Roman" w:hAnsi="Times New Roman"/>
          <w:sz w:val="24"/>
          <w:szCs w:val="24"/>
          <w:lang w:val="es-ES"/>
        </w:rPr>
      </w:pPr>
    </w:p>
    <w:p w:rsidR="00790D25" w:rsidRPr="00DB399C" w:rsidRDefault="00790D25" w:rsidP="002213EE">
      <w:pPr>
        <w:pStyle w:val="4Textocentral"/>
      </w:pPr>
      <w:r w:rsidRPr="00DB399C">
        <w:t xml:space="preserve">  El pensador francés llama “tecnología </w:t>
      </w:r>
      <w:proofErr w:type="spellStart"/>
      <w:r w:rsidRPr="00DB399C">
        <w:t>individualizante</w:t>
      </w:r>
      <w:proofErr w:type="spellEnd"/>
      <w:r w:rsidRPr="00DB399C">
        <w:t xml:space="preserve"> de poder” a  aquella que enfoca a los individuos hasta en sus cuerpos y en sus comportamientos, “se trata, grosso modo, de una especie de </w:t>
      </w:r>
      <w:proofErr w:type="spellStart"/>
      <w:r w:rsidRPr="00DB399C">
        <w:t>anátomo</w:t>
      </w:r>
      <w:proofErr w:type="spellEnd"/>
      <w:r w:rsidRPr="00DB399C">
        <w:t>-política, una política que hace blanco en los individuos</w:t>
      </w:r>
      <w:r w:rsidR="00B37122">
        <w:t xml:space="preserve"> hasta anatomizarlos” (1991:18), y</w:t>
      </w:r>
      <w:r w:rsidRPr="00DB399C">
        <w:t xml:space="preserve"> a partir del siglo XVIII, la tecnología pone el blanco en la población. “Por lo tanto, creo yo –dice Foucault- hay dos grandes revoluciones en la tecnología del poder: descubrimiento de la disciplina y descubrimiento de la regulación, perfeccionamiento de una </w:t>
      </w:r>
      <w:proofErr w:type="spellStart"/>
      <w:r w:rsidRPr="00DB399C">
        <w:t>anátomo</w:t>
      </w:r>
      <w:proofErr w:type="spellEnd"/>
      <w:r w:rsidRPr="00DB399C">
        <w:t xml:space="preserve">-política y perfeccionamiento de una </w:t>
      </w:r>
      <w:proofErr w:type="spellStart"/>
      <w:r w:rsidRPr="00DB399C">
        <w:t>bio</w:t>
      </w:r>
      <w:proofErr w:type="spellEnd"/>
      <w:r w:rsidRPr="00DB399C">
        <w:t xml:space="preserve">-política” (1991:19). </w:t>
      </w:r>
    </w:p>
    <w:p w:rsidR="00790D25" w:rsidRPr="003D7F18" w:rsidRDefault="00790D25" w:rsidP="003D7F18">
      <w:pPr>
        <w:pStyle w:val="4Textocentral"/>
      </w:pPr>
      <w:r w:rsidRPr="00DB399C">
        <w:t xml:space="preserve">  Para Foucault  existen cuatro tipos principales de tecnologías</w:t>
      </w:r>
      <w:r w:rsidRPr="00DB399C">
        <w:rPr>
          <w:rStyle w:val="Refdenotaalpie"/>
          <w:rFonts w:ascii="Times New Roman" w:hAnsi="Times New Roman"/>
          <w:sz w:val="24"/>
        </w:rPr>
        <w:footnoteReference w:id="2"/>
      </w:r>
      <w:r w:rsidRPr="00DB399C">
        <w:t>, y particularmente interesante es la que denomina</w:t>
      </w:r>
      <w:r>
        <w:t>:</w:t>
      </w:r>
      <w:r w:rsidRPr="00DB399C">
        <w:t xml:space="preserve"> </w:t>
      </w:r>
    </w:p>
    <w:p w:rsidR="00790D25" w:rsidRPr="00DB399C" w:rsidRDefault="00790D25" w:rsidP="002213EE">
      <w:pPr>
        <w:pStyle w:val="5Citaenprrafoaparte"/>
      </w:pPr>
      <w:r w:rsidRPr="00DB399C">
        <w:t xml:space="preserve">Tecnologías del yo, que permiten a los individuos efectuar, por cuenta propia o con la ayuda de otros, cierto número de operaciones sobre su cuerpo y su alma, pensamientos, conducta, o cualquier forma de ser, obteniendo así una transformación de sí mismos con el fin de alcanzar cierto estado de felicidad, pureza, </w:t>
      </w:r>
      <w:r w:rsidR="00B37122">
        <w:t>sabiduría o inmortalidad (</w:t>
      </w:r>
      <w:r w:rsidR="00B37122" w:rsidRPr="00DB399C">
        <w:t>Foucault</w:t>
      </w:r>
      <w:r w:rsidR="00B37122">
        <w:t>, 2000</w:t>
      </w:r>
      <w:r w:rsidRPr="00DB399C">
        <w:t>:22).</w:t>
      </w:r>
    </w:p>
    <w:p w:rsidR="00790D25" w:rsidRPr="00DB399C" w:rsidRDefault="00790D25" w:rsidP="00790D25">
      <w:pPr>
        <w:pStyle w:val="Textonotapie"/>
        <w:spacing w:line="360" w:lineRule="auto"/>
        <w:jc w:val="both"/>
        <w:rPr>
          <w:rFonts w:ascii="Times New Roman" w:hAnsi="Times New Roman"/>
          <w:sz w:val="24"/>
          <w:szCs w:val="24"/>
        </w:rPr>
      </w:pPr>
    </w:p>
    <w:p w:rsidR="00790D25" w:rsidRPr="003D7F18" w:rsidRDefault="00790D25" w:rsidP="003D7F18">
      <w:pPr>
        <w:pStyle w:val="4Textocentral"/>
        <w:rPr>
          <w:sz w:val="28"/>
          <w:szCs w:val="28"/>
          <w:lang w:val="es-ES_tradnl" w:eastAsia="es-AR"/>
        </w:rPr>
      </w:pPr>
      <w:r w:rsidRPr="00DB399C">
        <w:t xml:space="preserve"> También la llama “tecnologías</w:t>
      </w:r>
      <w:r w:rsidR="00716CE9">
        <w:t xml:space="preserve"> </w:t>
      </w:r>
      <w:r w:rsidRPr="00DB399C">
        <w:t xml:space="preserve">del sujeto” y se </w:t>
      </w:r>
      <w:r w:rsidR="00B37122">
        <w:t xml:space="preserve">aplican  al control de </w:t>
      </w:r>
      <w:r w:rsidRPr="00DB399C">
        <w:t xml:space="preserve"> las “ovejas” de</w:t>
      </w:r>
      <w:r>
        <w:t>l Señor</w:t>
      </w:r>
      <w:r w:rsidR="00716CE9">
        <w:t>, en otras palabras, e</w:t>
      </w:r>
      <w:r w:rsidRPr="00DB399C">
        <w:rPr>
          <w:lang w:val="es-MX"/>
        </w:rPr>
        <w:t xml:space="preserve">l </w:t>
      </w:r>
      <w:r w:rsidRPr="00DB399C">
        <w:t>poder pastoral de la tecnología del sujeto implica una atención individualizada a cada miembro del rebaño. “En el cristianismo, -afirma Foucault- el lazo con el pastor es un lazo individual, un l</w:t>
      </w:r>
      <w:r w:rsidR="00B37122">
        <w:t>azo de sumisión personal” (2000:</w:t>
      </w:r>
      <w:r w:rsidRPr="00DB399C">
        <w:t>45).  El agente Fray Luis siguiendo una larga tradición  cristiana construye una representación de sí como pastor que guía e ilumina:</w:t>
      </w:r>
    </w:p>
    <w:p w:rsidR="00790D25" w:rsidRPr="00B65F06" w:rsidRDefault="00790D25" w:rsidP="00B65F06">
      <w:pPr>
        <w:pStyle w:val="5Citaenprrafoaparte"/>
      </w:pPr>
      <w:r w:rsidRPr="00DB399C">
        <w:t>El entrañable amor que le tengo y el deseo de su bien que arde en mí, me despiertan para que le provea de algún aviso, y para que le busque y encienda alguna luz que, sin engaño ni error, alumbre y enderece sus pasos (…) (1999:13).</w:t>
      </w:r>
    </w:p>
    <w:p w:rsidR="00790D25" w:rsidRPr="00DB399C" w:rsidRDefault="008F56AC" w:rsidP="002213EE">
      <w:pPr>
        <w:pStyle w:val="4Textocentral"/>
      </w:pPr>
      <w:r>
        <w:t xml:space="preserve">  Y el objetivo es </w:t>
      </w:r>
      <w:proofErr w:type="spellStart"/>
      <w:r>
        <w:t>modeliz</w:t>
      </w:r>
      <w:r w:rsidR="00790D25" w:rsidRPr="00DB399C">
        <w:t>ar</w:t>
      </w:r>
      <w:proofErr w:type="spellEnd"/>
      <w:r w:rsidR="00811165">
        <w:rPr>
          <w:rStyle w:val="Refdenotaalpie"/>
        </w:rPr>
        <w:footnoteReference w:id="3"/>
      </w:r>
      <w:r w:rsidR="00790D25" w:rsidRPr="00DB399C">
        <w:t xml:space="preserve"> la “mujer perfecta” para esta vida y una “santa” para la vida eterna.</w:t>
      </w:r>
    </w:p>
    <w:p w:rsidR="00790D25" w:rsidRPr="00DB399C" w:rsidRDefault="00790D25" w:rsidP="002213EE">
      <w:pPr>
        <w:pStyle w:val="4Textocentral"/>
      </w:pPr>
      <w:r w:rsidRPr="00DB399C">
        <w:rPr>
          <w:lang w:val="es-MX"/>
        </w:rPr>
        <w:lastRenderedPageBreak/>
        <w:t xml:space="preserve">  Si bien Foucault propone una fecha más tardía, podemos decir que en   España,  ya en el siglo XVI,  una</w:t>
      </w:r>
      <w:r>
        <w:rPr>
          <w:lang w:val="es-MX"/>
        </w:rPr>
        <w:t xml:space="preserve"> tecnología del sujeto aflor</w:t>
      </w:r>
      <w:r w:rsidRPr="00DB399C">
        <w:rPr>
          <w:lang w:val="es-MX"/>
        </w:rPr>
        <w:t>ó en una red de dispositivos  cuyo fin</w:t>
      </w:r>
      <w:r w:rsidR="00CB0E7F">
        <w:t xml:space="preserve"> era disciplinar</w:t>
      </w:r>
      <w:r w:rsidRPr="00DB399C">
        <w:t xml:space="preserve"> a  hombres y  mujeres,  tanto en el modo de  conducirse en  la vida social como  en el cuidado de su vida interior. </w:t>
      </w:r>
      <w:r>
        <w:t>Tratados morales</w:t>
      </w:r>
      <w:r w:rsidRPr="00DB399C">
        <w:t xml:space="preserve"> y manuales de conducta sobre  las actitudes y aptitudes esperadas en la vida pública y privada estu</w:t>
      </w:r>
      <w:r w:rsidR="00CB0E7F">
        <w:t xml:space="preserve">vieron a la orden del día  y cumplían </w:t>
      </w:r>
      <w:r w:rsidRPr="00DB399C">
        <w:t xml:space="preserve"> la función  de formar  varones y mujeres a lo largo de su existencia social. </w:t>
      </w:r>
    </w:p>
    <w:p w:rsidR="00790D25" w:rsidRPr="00DB399C" w:rsidRDefault="00790D25" w:rsidP="002213EE">
      <w:pPr>
        <w:pStyle w:val="4Textocentral"/>
      </w:pPr>
      <w:r>
        <w:t xml:space="preserve">  </w:t>
      </w:r>
      <w:r w:rsidRPr="00DB399C">
        <w:t xml:space="preserve">En este marco de control, el poder </w:t>
      </w:r>
      <w:proofErr w:type="spellStart"/>
      <w:r w:rsidRPr="00DB399C">
        <w:t>disciplinador</w:t>
      </w:r>
      <w:proofErr w:type="spellEnd"/>
      <w:r w:rsidRPr="00DB399C">
        <w:t xml:space="preserve"> del aparato institucional eclesiástico  produjo, legitimó e impuso una serie de discursos como dispositivos disciplinarios que sirvieron para </w:t>
      </w:r>
      <w:proofErr w:type="spellStart"/>
      <w:r w:rsidRPr="00DB399C">
        <w:t>performar</w:t>
      </w:r>
      <w:proofErr w:type="spellEnd"/>
      <w:r w:rsidRPr="00DB399C">
        <w:t xml:space="preserve"> unas mujeres de acuerdo a unos intereses determinados. </w:t>
      </w:r>
    </w:p>
    <w:p w:rsidR="00790D25" w:rsidRPr="00CB0E7F" w:rsidRDefault="00790D25" w:rsidP="00CB0E7F">
      <w:pPr>
        <w:pStyle w:val="4Textocentral"/>
        <w:rPr>
          <w:rFonts w:eastAsia="Times New Roman"/>
          <w:lang w:eastAsia="es-AR"/>
        </w:rPr>
      </w:pPr>
      <w:r w:rsidRPr="00DB399C">
        <w:rPr>
          <w:rFonts w:eastAsia="Times New Roman"/>
          <w:lang w:eastAsia="es-AR"/>
        </w:rPr>
        <w:t xml:space="preserve">    Según García </w:t>
      </w:r>
      <w:proofErr w:type="spellStart"/>
      <w:r w:rsidRPr="00DB399C">
        <w:rPr>
          <w:rFonts w:eastAsia="Times New Roman"/>
          <w:lang w:eastAsia="es-AR"/>
        </w:rPr>
        <w:t>Fanlo</w:t>
      </w:r>
      <w:proofErr w:type="spellEnd"/>
      <w:r w:rsidRPr="00DB399C">
        <w:rPr>
          <w:rFonts w:eastAsia="Times New Roman"/>
          <w:lang w:eastAsia="es-AR"/>
        </w:rPr>
        <w:t xml:space="preserve">, hay que pensar una relación estrecha entre el sujeto y los dispositivos en la medida en  que estos  inscriben en los cuerpos reglas, prácticas y procedimientos, valores, etc.: </w:t>
      </w:r>
    </w:p>
    <w:p w:rsidR="00790D25" w:rsidRPr="00DB399C" w:rsidRDefault="00790D25" w:rsidP="002213EE">
      <w:pPr>
        <w:pStyle w:val="5Citaenprrafoaparte"/>
      </w:pPr>
      <w:r w:rsidRPr="00DB399C">
        <w:t xml:space="preserve">Los dispositivos constituirían a los sujetos inscribiendo en sus cuerpos un modo y una forma de ser. Pero no cualquier manera de ser. Lo que inscriben en el cuerpo son un conjunto de praxis, saberes, instituciones, cuyo objetivo consiste en administrar, gobernar, controlar, orientar, dar un sentido que se supone útil a los comportamientos, gestos  y pensamientos de los individuos (García </w:t>
      </w:r>
      <w:proofErr w:type="spellStart"/>
      <w:r w:rsidRPr="00DB399C">
        <w:t>Fanlo</w:t>
      </w:r>
      <w:proofErr w:type="spellEnd"/>
      <w:r w:rsidRPr="00DB399C">
        <w:t xml:space="preserve">, 2011:1). </w:t>
      </w:r>
    </w:p>
    <w:p w:rsidR="00790D25" w:rsidRPr="00DB399C" w:rsidRDefault="00790D25" w:rsidP="00790D25">
      <w:pPr>
        <w:shd w:val="clear" w:color="auto" w:fill="FFFFFF"/>
        <w:spacing w:after="0" w:line="360" w:lineRule="auto"/>
        <w:ind w:right="567"/>
        <w:jc w:val="both"/>
        <w:textAlignment w:val="baseline"/>
        <w:rPr>
          <w:rFonts w:ascii="Times New Roman" w:eastAsia="Times New Roman" w:hAnsi="Times New Roman"/>
          <w:sz w:val="24"/>
          <w:szCs w:val="24"/>
          <w:lang w:eastAsia="es-AR"/>
        </w:rPr>
      </w:pPr>
    </w:p>
    <w:p w:rsidR="00790D25" w:rsidRPr="00DB399C" w:rsidRDefault="00790D25" w:rsidP="00811165">
      <w:pPr>
        <w:pStyle w:val="4Textocentral"/>
      </w:pPr>
      <w:r w:rsidRPr="00DB399C">
        <w:t xml:space="preserve">  Un dispositivo es un régimen social productor de subjetividad, es decir, productor de sujetos-sujetados a un orden del saber/poder cuya estructura sostiene un régimen de verdad y cada dispositivo porta una especificidad en cuanto al tipo de sujeto que pr</w:t>
      </w:r>
      <w:r>
        <w:t xml:space="preserve">etende </w:t>
      </w:r>
      <w:proofErr w:type="spellStart"/>
      <w:r>
        <w:t>per</w:t>
      </w:r>
      <w:r w:rsidRPr="00DB399C">
        <w:t>formar</w:t>
      </w:r>
      <w:proofErr w:type="spellEnd"/>
      <w:r>
        <w:t xml:space="preserve"> (García </w:t>
      </w:r>
      <w:proofErr w:type="spellStart"/>
      <w:r>
        <w:t>Fanlo</w:t>
      </w:r>
      <w:proofErr w:type="spellEnd"/>
      <w:r>
        <w:t>, 2011)</w:t>
      </w:r>
      <w:r w:rsidRPr="00DB399C">
        <w:t xml:space="preserve">. Los dispositivos disciplinarios propios de cada institución interpelan al sujeto “transformándolo” en sujeto normativizado de acuerdo a determinados atributos y funciones que son útiles y necesarios para determinados fines. </w:t>
      </w:r>
    </w:p>
    <w:p w:rsidR="00790D25" w:rsidRPr="00DB399C" w:rsidRDefault="00790D25" w:rsidP="002213EE">
      <w:pPr>
        <w:pStyle w:val="4Textocentral"/>
      </w:pPr>
      <w:r>
        <w:t xml:space="preserve">  </w:t>
      </w:r>
      <w:r w:rsidRPr="00DB399C">
        <w:t>La iglesia como  institución controladora de la fe y</w:t>
      </w:r>
      <w:r w:rsidR="00D344AB">
        <w:t xml:space="preserve"> la moral</w:t>
      </w:r>
      <w:r w:rsidRPr="00DB399C">
        <w:t xml:space="preserve"> </w:t>
      </w:r>
      <w:r w:rsidR="00D344AB">
        <w:t xml:space="preserve">y legisladora de las </w:t>
      </w:r>
      <w:r w:rsidRPr="00DB399C">
        <w:t xml:space="preserve">buenas </w:t>
      </w:r>
      <w:r w:rsidR="00D344AB">
        <w:t xml:space="preserve">costumbres </w:t>
      </w:r>
      <w:r w:rsidRPr="00DB399C">
        <w:t xml:space="preserve"> inspiró y avaló  una serie de  </w:t>
      </w:r>
      <w:r>
        <w:t xml:space="preserve">dispositivos </w:t>
      </w:r>
      <w:r w:rsidRPr="00DB399C">
        <w:t>discurs</w:t>
      </w:r>
      <w:r>
        <w:t>iv</w:t>
      </w:r>
      <w:r w:rsidRPr="00DB399C">
        <w:t xml:space="preserve">os tendientes a controlar las almas y los cuerpos de sus fieles.  </w:t>
      </w:r>
      <w:r w:rsidRPr="00DB399C">
        <w:rPr>
          <w:i/>
        </w:rPr>
        <w:t>La perfecta casada</w:t>
      </w:r>
      <w:r w:rsidRPr="00DB399C">
        <w:t xml:space="preserve">  de Fray Luis de León (1583) se inscribe dentro de esos discursos que colaboraron en la formación de la figura de la casada y en esto, el agente social Fray Luis de León dedicó más de una jornada para ofrecer una representación de la  “mujer perfecta” exigida para el matrimonio.</w:t>
      </w:r>
    </w:p>
    <w:p w:rsidR="00790D25" w:rsidRDefault="00790D25" w:rsidP="002213EE">
      <w:pPr>
        <w:pStyle w:val="4Textocentral"/>
      </w:pPr>
      <w:r w:rsidRPr="00DB399C">
        <w:t xml:space="preserve">  La obra dedicada a María Varela Osorio se  publicó por primera </w:t>
      </w:r>
      <w:r>
        <w:t>vez en 1583 en Salamanca y de inmedi</w:t>
      </w:r>
      <w:r w:rsidRPr="00DB399C">
        <w:t>a</w:t>
      </w:r>
      <w:r>
        <w:t>to</w:t>
      </w:r>
      <w:r w:rsidRPr="00DB399C">
        <w:t xml:space="preserve"> obtuvo el reconocimiento entre sus lectores, hecho que motivo sucesivas ediciones</w:t>
      </w:r>
      <w:r>
        <w:t xml:space="preserve"> y, rápidamente,</w:t>
      </w:r>
      <w:r w:rsidR="002213EE">
        <w:t xml:space="preserve"> la mujer </w:t>
      </w:r>
      <w:proofErr w:type="spellStart"/>
      <w:r w:rsidR="002213EE">
        <w:t>luisiana</w:t>
      </w:r>
      <w:proofErr w:type="spellEnd"/>
      <w:r w:rsidR="002213EE">
        <w:t xml:space="preserve"> se convertía</w:t>
      </w:r>
      <w:r>
        <w:t xml:space="preserve"> </w:t>
      </w:r>
      <w:r w:rsidRPr="00DB399C">
        <w:t xml:space="preserve"> el paradigma de la </w:t>
      </w:r>
      <w:r w:rsidR="006D4051">
        <w:t>mujer de la Contrarreforma.</w:t>
      </w:r>
    </w:p>
    <w:p w:rsidR="00790D25" w:rsidRDefault="00790D25" w:rsidP="002213EE">
      <w:pPr>
        <w:pStyle w:val="4Textocentral"/>
      </w:pPr>
      <w:r w:rsidRPr="00DB399C">
        <w:t xml:space="preserve">  En principio, </w:t>
      </w:r>
      <w:r w:rsidRPr="00DB399C">
        <w:rPr>
          <w:i/>
        </w:rPr>
        <w:t>La perfecta casada</w:t>
      </w:r>
      <w:r w:rsidRPr="00DB399C">
        <w:t xml:space="preserve">  puede considerarse un trabajo de exegesis bíblica, ya que el agente social se dedica a comentar los versos de </w:t>
      </w:r>
      <w:r w:rsidRPr="00DB399C">
        <w:rPr>
          <w:i/>
        </w:rPr>
        <w:t>Proverbios 31</w:t>
      </w:r>
      <w:r w:rsidRPr="00DB399C">
        <w:t xml:space="preserve">, </w:t>
      </w:r>
      <w:r w:rsidRPr="00DB399C">
        <w:rPr>
          <w:i/>
        </w:rPr>
        <w:t>10-31,</w:t>
      </w:r>
      <w:r w:rsidRPr="00DB399C">
        <w:t xml:space="preserve">  “Elogio de la buena ama de casa”, que según la tradición fue revelado por el Espíritu Santo al rey Salomón. En el plan general de la obra, a cada versículo de proverbios le corresponde un capítulo en la obra del fray agustino, a excepción de los versículos 17 al 19 que son comentados en forma conjunta. La obra es un tratado doctrinal  del tipo </w:t>
      </w:r>
      <w:proofErr w:type="spellStart"/>
      <w:r w:rsidRPr="00DB399C">
        <w:rPr>
          <w:i/>
        </w:rPr>
        <w:t>speculum</w:t>
      </w:r>
      <w:proofErr w:type="spellEnd"/>
      <w:r w:rsidR="00B65F06">
        <w:t>, un “espejo donde mirarse”</w:t>
      </w:r>
      <w:r w:rsidRPr="00DB399C">
        <w:t xml:space="preserve"> y el mismo enunciador remitiéndose a las palabras de Salomón dice que “pinta acabadamente una virtuosa casada” para que “se miren en ella </w:t>
      </w:r>
      <w:r w:rsidRPr="00DB399C">
        <w:lastRenderedPageBreak/>
        <w:t>como en un espejo clarísimo, y se avisen, mirándose allí, de aquello que les conviene para hacer lo que deben” (</w:t>
      </w:r>
      <w:r w:rsidR="002213EE">
        <w:t>Fran Luis de León, 1999:</w:t>
      </w:r>
      <w:r w:rsidRPr="00DB399C">
        <w:t xml:space="preserve">15). </w:t>
      </w:r>
    </w:p>
    <w:p w:rsidR="00790D25" w:rsidRDefault="00790D25" w:rsidP="00790D25">
      <w:pPr>
        <w:spacing w:after="0" w:line="360" w:lineRule="auto"/>
        <w:jc w:val="both"/>
        <w:rPr>
          <w:rFonts w:ascii="Times New Roman" w:hAnsi="Times New Roman"/>
          <w:sz w:val="24"/>
          <w:szCs w:val="24"/>
        </w:rPr>
      </w:pPr>
    </w:p>
    <w:p w:rsidR="00790D25" w:rsidRPr="002918A5" w:rsidRDefault="007C05B0" w:rsidP="00A86D7D">
      <w:pPr>
        <w:pStyle w:val="31Subttulo1"/>
      </w:pPr>
      <w:r>
        <w:t>Ent</w:t>
      </w:r>
      <w:r w:rsidR="005F3038">
        <w:t>r</w:t>
      </w:r>
      <w:bookmarkStart w:id="0" w:name="_GoBack"/>
      <w:bookmarkEnd w:id="0"/>
      <w:r>
        <w:t>e d</w:t>
      </w:r>
      <w:r w:rsidR="00790D25">
        <w:t xml:space="preserve">elito y </w:t>
      </w:r>
      <w:r>
        <w:t xml:space="preserve"> </w:t>
      </w:r>
      <w:r w:rsidR="00790D25">
        <w:t>pecado</w:t>
      </w:r>
    </w:p>
    <w:p w:rsidR="00790D25" w:rsidRPr="003D7F18" w:rsidRDefault="00790D25" w:rsidP="003D7F18">
      <w:pPr>
        <w:pStyle w:val="4Textocentral"/>
        <w:rPr>
          <w:rStyle w:val="4TextocentralCarCar"/>
        </w:rPr>
      </w:pPr>
      <w:r>
        <w:rPr>
          <w:rFonts w:ascii="Times New Roman" w:hAnsi="Times New Roman"/>
          <w:sz w:val="24"/>
        </w:rPr>
        <w:t xml:space="preserve">  </w:t>
      </w:r>
      <w:r w:rsidRPr="003D7F18">
        <w:rPr>
          <w:rStyle w:val="4TextocentralCarCar"/>
        </w:rPr>
        <w:t xml:space="preserve">En la España del Siglo de Oro, no hubo una definición precisa y sistemática  de lo que </w:t>
      </w:r>
      <w:r w:rsidR="003D7F18" w:rsidRPr="003D7F18">
        <w:rPr>
          <w:rStyle w:val="4TextocentralCarCar"/>
        </w:rPr>
        <w:t>se consideraba</w:t>
      </w:r>
      <w:r w:rsidRPr="003D7F18">
        <w:rPr>
          <w:rStyle w:val="4TextocentralCarCar"/>
        </w:rPr>
        <w:t xml:space="preserve"> delito, sino  más bien había nocione</w:t>
      </w:r>
      <w:r w:rsidR="00440BCF">
        <w:rPr>
          <w:rStyle w:val="4TextocentralCarCar"/>
        </w:rPr>
        <w:t xml:space="preserve">s y creencias sobre el concepto. </w:t>
      </w:r>
      <w:r w:rsidRPr="003D7F18">
        <w:rPr>
          <w:rStyle w:val="4TextocentralCarCar"/>
        </w:rPr>
        <w:t xml:space="preserve">Sí existía una distinción entre delitos propiamente dichos y contravenciones, no consideradas verdaderos delitos. “De manera general, y casi obvia, -señala </w:t>
      </w:r>
      <w:proofErr w:type="spellStart"/>
      <w:r w:rsidRPr="003D7F18">
        <w:rPr>
          <w:rStyle w:val="4TextocentralCarCar"/>
        </w:rPr>
        <w:t>Villalba</w:t>
      </w:r>
      <w:proofErr w:type="spellEnd"/>
      <w:r w:rsidRPr="003D7F18">
        <w:rPr>
          <w:rStyle w:val="4TextocentralCarCar"/>
        </w:rPr>
        <w:t xml:space="preserve"> Pérez- podemos considerar delito cualquier acción penada por una ley. Sin embargo, para la sociedad los límites no estaban tan claros y, desde luego, no podían ser considerados del mismo modo las contravenciones de algunas pragmáticas suntuarias o de cortesía, por ejemplo, que los crímenes” (2004:21). Para este historiador, los verdaderos delincuentes eran los transgresores a la ley, mientras que otros eran infractores ocasionales sin una consideración propiamente delictiva. Según Bartolomé Clavero para una sociedad de tipo tradicional como la española</w:t>
      </w:r>
      <w:r w:rsidR="003D7F18" w:rsidRPr="003D7F18">
        <w:rPr>
          <w:rStyle w:val="4TextocentralCarCar"/>
        </w:rPr>
        <w:t>,</w:t>
      </w:r>
      <w:r w:rsidRPr="003D7F18">
        <w:rPr>
          <w:rStyle w:val="4TextocentralCarCar"/>
        </w:rPr>
        <w:t xml:space="preserve"> las transgres</w:t>
      </w:r>
      <w:r w:rsidR="007C05B0">
        <w:rPr>
          <w:rStyle w:val="4TextocentralCarCar"/>
        </w:rPr>
        <w:t>iones se definen a partir de  l</w:t>
      </w:r>
      <w:r w:rsidRPr="003D7F18">
        <w:rPr>
          <w:rStyle w:val="4TextocentralCarCar"/>
        </w:rPr>
        <w:t>as mismas tradiciones y, de ese modo, por vía cultural se diferenciaban  los delitos de los pecados y se imponían los castigos y las penitencias. Los “pecados son aquellos actos que dicen los textos y tradiciones de carácter religioso; delitos, los que a su vez figuran en los jurídicos” (1990: 60)</w:t>
      </w:r>
      <w:r w:rsidRPr="003D7F18">
        <w:rPr>
          <w:rStyle w:val="4TextocentralCarCar"/>
        </w:rPr>
        <w:footnoteReference w:id="4"/>
      </w:r>
      <w:r w:rsidRPr="003D7F18">
        <w:rPr>
          <w:rStyle w:val="4TextocentralCarCar"/>
        </w:rPr>
        <w:t>. Se podía perdonar el pecado, no el delito que tenía determinada condena dependiendo de la gravedad de la transgresión y de la arbitrariedad de los tribunales.</w:t>
      </w:r>
    </w:p>
    <w:p w:rsidR="00790D25" w:rsidRPr="00531464" w:rsidRDefault="00790D25" w:rsidP="003D7F18">
      <w:pPr>
        <w:pStyle w:val="4Textocentral"/>
        <w:rPr>
          <w:rFonts w:ascii="Times-Roman" w:hAnsi="Times-Roman" w:cs="Times-Roman"/>
        </w:rPr>
      </w:pPr>
      <w:r>
        <w:t xml:space="preserve">  Con respecto al status jurídico de la mujer, es harto conocido que todas las referencias legales respecto a ellas están en relación a los hombres, ya sean padres, hermanos o maridos lo que las ubica en un lugar de subordinación. Además “de que a priori se establecía la distinción entre </w:t>
      </w:r>
      <w:r>
        <w:rPr>
          <w:i/>
        </w:rPr>
        <w:t>mujeres honestas y malas mujeres</w:t>
      </w:r>
      <w:r>
        <w:t xml:space="preserve"> atendiendo esencialmente a criterios de moral sexual” (</w:t>
      </w:r>
      <w:proofErr w:type="spellStart"/>
      <w:r>
        <w:t>Villalba</w:t>
      </w:r>
      <w:proofErr w:type="spellEnd"/>
      <w:r>
        <w:t xml:space="preserve"> Pérez, 2004:24). Y </w:t>
      </w:r>
      <w:r>
        <w:rPr>
          <w:rFonts w:ascii="Times-Roman" w:hAnsi="Times-Roman" w:cs="Times-Roman"/>
        </w:rPr>
        <w:t>a</w:t>
      </w:r>
      <w:r w:rsidRPr="00531464">
        <w:rPr>
          <w:rFonts w:ascii="Times-Roman" w:hAnsi="Times-Roman" w:cs="Times-Roman"/>
        </w:rPr>
        <w:t>l no haber una clara distinción entre delito y pecado</w:t>
      </w:r>
      <w:r>
        <w:rPr>
          <w:rFonts w:ascii="Times-Roman" w:hAnsi="Times-Roman" w:cs="Times-Roman"/>
        </w:rPr>
        <w:t xml:space="preserve"> “l</w:t>
      </w:r>
      <w:r w:rsidRPr="00531464">
        <w:rPr>
          <w:rFonts w:ascii="Times-Roman" w:hAnsi="Times-Roman" w:cs="Times-Roman"/>
        </w:rPr>
        <w:t>as m</w:t>
      </w:r>
      <w:r>
        <w:rPr>
          <w:rFonts w:ascii="Times-Roman" w:hAnsi="Times-Roman" w:cs="Times-Roman"/>
        </w:rPr>
        <w:t xml:space="preserve">ujeres eran sancionadas, no por </w:t>
      </w:r>
      <w:r w:rsidRPr="00531464">
        <w:rPr>
          <w:rFonts w:ascii="Times-Roman" w:hAnsi="Times-Roman" w:cs="Times-Roman"/>
        </w:rPr>
        <w:t>los daños que h</w:t>
      </w:r>
      <w:r>
        <w:rPr>
          <w:rFonts w:ascii="Times-Roman" w:hAnsi="Times-Roman" w:cs="Times-Roman"/>
        </w:rPr>
        <w:t xml:space="preserve">ubieran hecho a nadie, sino por </w:t>
      </w:r>
      <w:r w:rsidRPr="00531464">
        <w:rPr>
          <w:rFonts w:ascii="Times-Roman" w:hAnsi="Times-Roman" w:cs="Times-Roman"/>
        </w:rPr>
        <w:t>el abandono o mal c</w:t>
      </w:r>
      <w:r>
        <w:rPr>
          <w:rFonts w:ascii="Times-Roman" w:hAnsi="Times-Roman" w:cs="Times-Roman"/>
        </w:rPr>
        <w:t xml:space="preserve">umplimiento de sus obligaciones </w:t>
      </w:r>
      <w:r w:rsidRPr="00531464">
        <w:rPr>
          <w:rFonts w:ascii="Times-Roman" w:hAnsi="Times-Roman" w:cs="Times-Roman"/>
        </w:rPr>
        <w:t>domésticas y familiares</w:t>
      </w:r>
      <w:r>
        <w:rPr>
          <w:rFonts w:ascii="Times-Roman" w:hAnsi="Times-Roman" w:cs="Times-Roman"/>
        </w:rPr>
        <w:t>” (Juliano, 2009: 81)</w:t>
      </w:r>
      <w:r>
        <w:rPr>
          <w:rStyle w:val="Refdenotaalpie"/>
          <w:rFonts w:ascii="Times-Roman" w:hAnsi="Times-Roman" w:cs="Times-Roman"/>
          <w:sz w:val="24"/>
        </w:rPr>
        <w:footnoteReference w:id="5"/>
      </w:r>
      <w:r w:rsidRPr="00531464">
        <w:rPr>
          <w:rFonts w:ascii="Times-Roman" w:hAnsi="Times-Roman" w:cs="Times-Roman"/>
        </w:rPr>
        <w:t>.</w:t>
      </w:r>
    </w:p>
    <w:p w:rsidR="00790D25" w:rsidRDefault="00790D25" w:rsidP="003D7F18">
      <w:pPr>
        <w:pStyle w:val="4Textocentral"/>
        <w:rPr>
          <w:rFonts w:ascii="Times New Roman" w:hAnsi="Times New Roman"/>
          <w:sz w:val="24"/>
        </w:rPr>
      </w:pPr>
    </w:p>
    <w:p w:rsidR="00790D25" w:rsidRPr="00DB399C" w:rsidRDefault="00790D25" w:rsidP="003D7F18">
      <w:pPr>
        <w:pStyle w:val="4Textocentral"/>
        <w:rPr>
          <w:rFonts w:ascii="Times New Roman" w:hAnsi="Times New Roman"/>
          <w:sz w:val="24"/>
        </w:rPr>
      </w:pPr>
    </w:p>
    <w:p w:rsidR="00790D25" w:rsidRPr="00377891" w:rsidRDefault="00790D25" w:rsidP="005E5BF0">
      <w:pPr>
        <w:pStyle w:val="31Subttulo1"/>
      </w:pPr>
      <w:r w:rsidRPr="00DB399C">
        <w:t xml:space="preserve">La </w:t>
      </w:r>
      <w:proofErr w:type="spellStart"/>
      <w:r w:rsidR="002B2AC8">
        <w:t>im</w:t>
      </w:r>
      <w:proofErr w:type="spellEnd"/>
      <w:r w:rsidR="002B2AC8">
        <w:t>-</w:t>
      </w:r>
      <w:r w:rsidRPr="00DB399C">
        <w:t xml:space="preserve">perfecta casada </w:t>
      </w:r>
    </w:p>
    <w:p w:rsidR="00790D25" w:rsidRPr="00377891" w:rsidRDefault="00790D25" w:rsidP="00377891">
      <w:pPr>
        <w:pStyle w:val="4Textocentral"/>
      </w:pPr>
      <w:r w:rsidRPr="00DB399C">
        <w:lastRenderedPageBreak/>
        <w:t xml:space="preserve">  </w:t>
      </w:r>
      <w:r w:rsidR="002918A5">
        <w:t xml:space="preserve">Fray Luis </w:t>
      </w:r>
      <w:r w:rsidRPr="00DB399C">
        <w:t xml:space="preserve"> construye la figura del matrimonio como camino de la vida </w:t>
      </w:r>
      <w:r>
        <w:t xml:space="preserve">y se auto-representa como guía o pastor que tiene </w:t>
      </w:r>
      <w:r w:rsidRPr="00DB399C">
        <w:t xml:space="preserve"> el objetivo de proveer de “algún aviso”, “encender alguna luz” que alumbre y enderec</w:t>
      </w:r>
      <w:r>
        <w:t xml:space="preserve">e los pasos de la </w:t>
      </w:r>
      <w:proofErr w:type="spellStart"/>
      <w:r>
        <w:t>enunciataria</w:t>
      </w:r>
      <w:proofErr w:type="spellEnd"/>
      <w:r>
        <w:t xml:space="preserve">. </w:t>
      </w:r>
      <w:r w:rsidRPr="00DB399C">
        <w:t>El enunciado</w:t>
      </w:r>
      <w:r>
        <w:t>r marca</w:t>
      </w:r>
      <w:r w:rsidRPr="00DB399C">
        <w:t xml:space="preserve">  una clara delimit</w:t>
      </w:r>
      <w:r>
        <w:t>ación de las funciones que debe</w:t>
      </w:r>
      <w:r w:rsidRPr="00DB399C">
        <w:t xml:space="preserve"> desempeñar la esposa cristiana  para  consolidar de la concepción del matrimonio tridentino:</w:t>
      </w:r>
    </w:p>
    <w:p w:rsidR="00790D25" w:rsidRDefault="00790D25" w:rsidP="00377891">
      <w:pPr>
        <w:pStyle w:val="5Citaenprrafoaparte"/>
      </w:pPr>
      <w:r w:rsidRPr="00DB399C">
        <w:t>Porque el servir al marido y el gobernar la familia, y la crianza de los hijos y la cuenta que juntamente con esto se debe al temor de Dios y a la guarda y limpieza de la conciencia, todo lo cual pertenece al estado y oficio de la mujer que se casa, obras son que cada una por sí pide mucho cuidado, y que todas juntas, sin particular favor</w:t>
      </w:r>
      <w:r w:rsidR="00377891">
        <w:t xml:space="preserve"> de cielo, no se pueden cumplir</w:t>
      </w:r>
      <w:r w:rsidRPr="00DB399C">
        <w:t xml:space="preserve"> (</w:t>
      </w:r>
      <w:r w:rsidR="00377891">
        <w:t>Fray Luis de León,</w:t>
      </w:r>
      <w:r w:rsidR="002918A5">
        <w:t xml:space="preserve"> </w:t>
      </w:r>
      <w:r w:rsidR="00377891">
        <w:t>1999:</w:t>
      </w:r>
      <w:r w:rsidRPr="00DB399C">
        <w:t>13)</w:t>
      </w:r>
      <w:r w:rsidR="00377891">
        <w:t>.</w:t>
      </w:r>
    </w:p>
    <w:p w:rsidR="00790D25" w:rsidRPr="00DB399C" w:rsidRDefault="00790D25" w:rsidP="005E5BF0">
      <w:pPr>
        <w:pStyle w:val="4Textocentral"/>
        <w:ind w:firstLine="0"/>
      </w:pPr>
    </w:p>
    <w:p w:rsidR="00790D25" w:rsidRPr="00B65F06" w:rsidRDefault="00790D25" w:rsidP="00B65F06">
      <w:pPr>
        <w:pStyle w:val="4Textocentral"/>
      </w:pPr>
      <w:r w:rsidRPr="00B65F06">
        <w:t xml:space="preserve">   Si bien para el  enunciador el estado del matrimonio es menos perfecto que el de los “continentes o vírgenes”, es un estado necesario para la conservación de los hombres y a través de  él, también es posible encontrar el bien y la santidad.  Para alcanzar el modelo ejemplar  de la casada perfecta</w:t>
      </w:r>
      <w:r w:rsidR="005E5BF0" w:rsidRPr="00B65F06">
        <w:t xml:space="preserve">, el enunciador señala: </w:t>
      </w:r>
      <w:r w:rsidRPr="00B65F06">
        <w:t xml:space="preserve">“no hay cosa más rica ni más feliz que la buena mujer, ni peor ni más desastrada que la casada que no lo es (…)” </w:t>
      </w:r>
      <w:r w:rsidR="00377891" w:rsidRPr="00B65F06">
        <w:t>(Fray Luis de León, 1999:</w:t>
      </w:r>
      <w:r w:rsidRPr="00B65F06">
        <w:t>18</w:t>
      </w:r>
      <w:r w:rsidR="00377891" w:rsidRPr="00B65F06">
        <w:t>) y</w:t>
      </w:r>
      <w:r w:rsidRPr="00B65F06">
        <w:t xml:space="preserve">  remitiéndose a fuentes bíblicas –Eclesiástico cap. 26 y Proverbios cap. 19 y 30- establece el paradigma de la buena y la mala mujer. De la buena dice:  </w:t>
      </w:r>
    </w:p>
    <w:p w:rsidR="00790D25" w:rsidRPr="00DB399C" w:rsidRDefault="00790D25" w:rsidP="00377891">
      <w:pPr>
        <w:pStyle w:val="5Citaenprrafoaparte"/>
      </w:pPr>
      <w:r w:rsidRPr="00DB399C">
        <w:t xml:space="preserve">El marido de la mujer buena es dichoso, y vivirá doblados días; y la mujer de valor pone en su marido descanso, y cerrará los años de su vida con paz. La mujer buena es suerte buena, y, como premio de los que temen a Dios, la dará Dios al hombre por sus buenas obras. El bien de la mujer diligente deleitará a su marido, e henchirá de grosura sus huesos. Don grande de Dios es el trato bueno suyo; bien sobre bien, y hermosura sobre hermosura es una mujer que es santa y honesta. Como el sol que nace parece en las alturas del cielo, así el rostro de la buena adorna y hermosea su casa </w:t>
      </w:r>
      <w:r w:rsidR="00377891">
        <w:t>(Fray Luis de León, 1999:</w:t>
      </w:r>
      <w:r w:rsidRPr="00DB399C">
        <w:t>18</w:t>
      </w:r>
      <w:r w:rsidR="00377891">
        <w:t>).</w:t>
      </w:r>
    </w:p>
    <w:p w:rsidR="00790D25" w:rsidRPr="00DB399C" w:rsidRDefault="00790D25" w:rsidP="00790D25">
      <w:pPr>
        <w:spacing w:after="0" w:line="360" w:lineRule="auto"/>
        <w:jc w:val="both"/>
        <w:rPr>
          <w:rFonts w:ascii="Times New Roman" w:hAnsi="Times New Roman"/>
          <w:sz w:val="24"/>
          <w:szCs w:val="24"/>
        </w:rPr>
      </w:pPr>
    </w:p>
    <w:p w:rsidR="00790D25" w:rsidRPr="00DB399C" w:rsidRDefault="00790D25" w:rsidP="00377891">
      <w:pPr>
        <w:pStyle w:val="4Textocentral"/>
      </w:pPr>
      <w:r w:rsidRPr="00DB399C">
        <w:t xml:space="preserve">  La posición de la buena esposa es ser objeto sobre quien recae el peso de la acción cuyo beneficiario es el marido. Es él  quien disfrutará de la vida descansada, en paz y feliz; es ella, quien convertida en objeto, es premio</w:t>
      </w:r>
      <w:r>
        <w:t xml:space="preserve"> para él</w:t>
      </w:r>
      <w:r w:rsidRPr="00DB399C">
        <w:t>, es agente de sacrificios, y en la concepción católica, el sacrificio conduce a la santidad:</w:t>
      </w:r>
      <w:r>
        <w:t xml:space="preserve"> “</w:t>
      </w:r>
      <w:r w:rsidRPr="00DB399C">
        <w:t>Porque a la buena mujer su familia la reverencia, y sus hijos la aman y su marido la adora, y los vecinos la bendicen y los presentes y los venideros la alaban y ensalzan</w:t>
      </w:r>
      <w:r>
        <w:t>” (</w:t>
      </w:r>
      <w:r w:rsidR="00377891">
        <w:t xml:space="preserve">Fray Luis de León, </w:t>
      </w:r>
      <w:r>
        <w:t xml:space="preserve">1999: </w:t>
      </w:r>
      <w:r w:rsidRPr="00DB399C">
        <w:t>19</w:t>
      </w:r>
      <w:r>
        <w:t>).</w:t>
      </w:r>
    </w:p>
    <w:p w:rsidR="00790D25" w:rsidRPr="00DB399C" w:rsidRDefault="00790D25" w:rsidP="00377891">
      <w:pPr>
        <w:pStyle w:val="4Textocentral"/>
      </w:pPr>
      <w:r w:rsidRPr="00DB399C">
        <w:t xml:space="preserve">  Reverenciar, amar, adorar, bendecir, alabar ensalzar son todos lexemas del campo semántico de la santidad por lo tanto el matrimonio sería otro posible camino para llegar a tal estado. Por los sacrificios requeridos pareciera que no es como el enunciador promete al principio </w:t>
      </w:r>
      <w:r w:rsidR="00FF43FF">
        <w:t xml:space="preserve">de la obra </w:t>
      </w:r>
      <w:r w:rsidRPr="00DB399C">
        <w:t>cuando dice que las leyes del santo matrimonio son  “como camino real, más abierto y menos trabajosos que otros” (</w:t>
      </w:r>
      <w:r w:rsidR="00FF43FF">
        <w:t xml:space="preserve">Fray Luis de León, </w:t>
      </w:r>
      <w:r>
        <w:t xml:space="preserve">1999: </w:t>
      </w:r>
      <w:r w:rsidRPr="00DB399C">
        <w:t xml:space="preserve">13) en tanto que la mujer deja su propio ser para “sujetarse” a la voluntad del otro y de los otros. </w:t>
      </w:r>
    </w:p>
    <w:p w:rsidR="00790D25" w:rsidRPr="00DB399C" w:rsidRDefault="00790D25" w:rsidP="00377891">
      <w:pPr>
        <w:pStyle w:val="4Textocentral"/>
      </w:pPr>
      <w:r w:rsidRPr="00DB399C">
        <w:t xml:space="preserve">  Esta  “buena mujer” debe poseer los siguientes atributos: diligente, dulce, piadosa y honesta, brillante como el sol “y no sé yo –dice el enunciador- joya de valor ni de loor que </w:t>
      </w:r>
      <w:proofErr w:type="spellStart"/>
      <w:r w:rsidRPr="00DB399C">
        <w:t>ansí</w:t>
      </w:r>
      <w:proofErr w:type="spellEnd"/>
      <w:r w:rsidRPr="00DB399C">
        <w:t xml:space="preserve"> </w:t>
      </w:r>
      <w:r w:rsidRPr="00DB399C">
        <w:lastRenderedPageBreak/>
        <w:t xml:space="preserve">levante y hermosee con claridad y esplendor a los hombres, como es aquel tesoro de inmortales bienes de honestidad, de dulzura, de fe, de verdad, de amor, de piedad (…)” </w:t>
      </w:r>
      <w:r>
        <w:t>(</w:t>
      </w:r>
      <w:r w:rsidR="00FF43FF">
        <w:t xml:space="preserve">Fray Luis de León </w:t>
      </w:r>
      <w:r>
        <w:t xml:space="preserve">1999: </w:t>
      </w:r>
      <w:r w:rsidRPr="00DB399C">
        <w:t>19</w:t>
      </w:r>
      <w:r>
        <w:t>)</w:t>
      </w:r>
      <w:r w:rsidRPr="00DB399C">
        <w:t xml:space="preserve">. </w:t>
      </w:r>
    </w:p>
    <w:p w:rsidR="00790D25" w:rsidRDefault="00790D25" w:rsidP="00377891">
      <w:pPr>
        <w:pStyle w:val="4Textocentral"/>
      </w:pPr>
      <w:r w:rsidRPr="00DB399C">
        <w:t xml:space="preserve">  Y según corresponde al pensamiento dicotómico de este primer momento de la Modernidad, junto a la representación de  la “buena” se construye  la figura de la  “mala”</w:t>
      </w:r>
      <w:r>
        <w:t>:</w:t>
      </w:r>
    </w:p>
    <w:p w:rsidR="00790D25" w:rsidRDefault="00790D25" w:rsidP="00790D25">
      <w:pPr>
        <w:spacing w:after="0" w:line="360" w:lineRule="auto"/>
        <w:jc w:val="both"/>
        <w:rPr>
          <w:rFonts w:ascii="Times New Roman" w:hAnsi="Times New Roman"/>
          <w:sz w:val="24"/>
          <w:szCs w:val="24"/>
        </w:rPr>
      </w:pPr>
    </w:p>
    <w:p w:rsidR="00790D25" w:rsidRPr="00223E7B" w:rsidRDefault="00790D25" w:rsidP="00377891">
      <w:pPr>
        <w:pStyle w:val="5Citaenprrafoaparte"/>
      </w:pPr>
      <w:r w:rsidRPr="00223E7B">
        <w:t xml:space="preserve">La celosa es dolor de corazón y llanto continuo, y </w:t>
      </w:r>
      <w:r w:rsidRPr="005E5BF0">
        <w:t>el tratar con la mala es tratar con los escorpiones. Casa que se llueve es la mujer rencillosa, y lo que turba la vida es casarse con una aborrecible. La tristeza del corazón es la mayor herida, y la maldad de la mujer es todas las maldades</w:t>
      </w:r>
      <w:r w:rsidR="005E5BF0" w:rsidRPr="005E5BF0">
        <w:t>. (…)</w:t>
      </w:r>
      <w:r w:rsidRPr="005E5BF0">
        <w:t>. Vivir con leones y con dragones es más pasadero que hacer vida con la mujer que es malvada</w:t>
      </w:r>
      <w:r w:rsidR="00377891" w:rsidRPr="005E5BF0">
        <w:t xml:space="preserve"> (Fray Luis, 1999:</w:t>
      </w:r>
      <w:r w:rsidRPr="005E5BF0">
        <w:t>18</w:t>
      </w:r>
      <w:r w:rsidR="00377891" w:rsidRPr="005E5BF0">
        <w:t>).</w:t>
      </w:r>
    </w:p>
    <w:p w:rsidR="00790D25" w:rsidRDefault="00790D25" w:rsidP="00377891">
      <w:pPr>
        <w:pStyle w:val="5Citaenprrafoaparte"/>
      </w:pPr>
    </w:p>
    <w:p w:rsidR="002B2AC8" w:rsidRDefault="00790D25" w:rsidP="00377891">
      <w:pPr>
        <w:pStyle w:val="4Textocentral"/>
      </w:pPr>
      <w:r>
        <w:t xml:space="preserve">  </w:t>
      </w:r>
      <w:r w:rsidRPr="00DB399C">
        <w:t xml:space="preserve"> La mala es sujeto de las acciones: “es todas las maldades”, “es tratar con los escorpiones”, es “vivir con leones”, es “ira” la mala mujer. Los lexemas leones, culebras, escorpiones, dragones marcan una clara animalización de la mujer en estrecha vinculación con la peligrosidad, agresividad y mortalidad. Además hace padecer al hombre en los sentimientos produciendo “quebranto de corazón” y en lo físico generando “</w:t>
      </w:r>
      <w:proofErr w:type="spellStart"/>
      <w:r w:rsidRPr="00DB399C">
        <w:t>cortamiento</w:t>
      </w:r>
      <w:proofErr w:type="spellEnd"/>
      <w:r w:rsidRPr="00DB399C">
        <w:t xml:space="preserve"> de piernas y </w:t>
      </w:r>
      <w:proofErr w:type="spellStart"/>
      <w:r w:rsidRPr="00DB399C">
        <w:t>descaimiento</w:t>
      </w:r>
      <w:proofErr w:type="spellEnd"/>
      <w:r w:rsidRPr="00DB399C">
        <w:t xml:space="preserve"> de manos” (</w:t>
      </w:r>
      <w:r w:rsidR="00336CAC">
        <w:t xml:space="preserve">Fray Luis, </w:t>
      </w:r>
      <w:r>
        <w:t xml:space="preserve">1999: </w:t>
      </w:r>
      <w:r w:rsidRPr="00DB399C">
        <w:t>19). Y por último, el enunciador desde su lugar de clérigo recuerda la condición de portadora de la culpabilidad divina porque “la mujer dio principio al pecado, y por su causa morimos todos. Y por e</w:t>
      </w:r>
      <w:r>
        <w:t>sta forma, otras muchas razones</w:t>
      </w:r>
      <w:r w:rsidR="002B2AC8">
        <w:t>”</w:t>
      </w:r>
      <w:r w:rsidRPr="00DB399C">
        <w:t xml:space="preserve"> </w:t>
      </w:r>
      <w:r>
        <w:t>(</w:t>
      </w:r>
      <w:r w:rsidR="00336CAC">
        <w:t>Fray Luis</w:t>
      </w:r>
      <w:r w:rsidR="00FF43FF">
        <w:t xml:space="preserve"> de León</w:t>
      </w:r>
      <w:r w:rsidR="00336CAC">
        <w:t xml:space="preserve">, </w:t>
      </w:r>
      <w:r>
        <w:t xml:space="preserve">1999: </w:t>
      </w:r>
      <w:r w:rsidRPr="00DB399C">
        <w:t>18</w:t>
      </w:r>
      <w:r>
        <w:t xml:space="preserve">). </w:t>
      </w:r>
      <w:r w:rsidRPr="00DB399C">
        <w:t xml:space="preserve"> </w:t>
      </w:r>
    </w:p>
    <w:p w:rsidR="00790D25" w:rsidRPr="00DB399C" w:rsidRDefault="00790D25" w:rsidP="00D70D8E">
      <w:pPr>
        <w:pStyle w:val="4Textocentral"/>
      </w:pPr>
      <w:r w:rsidRPr="00DB399C">
        <w:t xml:space="preserve">La representación  negativa de </w:t>
      </w:r>
      <w:r w:rsidR="002B2AC8">
        <w:t xml:space="preserve"> la mujer tiene su </w:t>
      </w:r>
      <w:r w:rsidRPr="00DB399C">
        <w:t xml:space="preserve">origen bíblico </w:t>
      </w:r>
      <w:r w:rsidR="002B2AC8">
        <w:t xml:space="preserve">y se difunde </w:t>
      </w:r>
      <w:r w:rsidRPr="00DB399C">
        <w:t>a través de los siglos hasta llegar al XVI</w:t>
      </w:r>
      <w:r>
        <w:t xml:space="preserve"> y lo trasciende:</w:t>
      </w:r>
      <w:r w:rsidR="00D70D8E">
        <w:t xml:space="preserve"> “</w:t>
      </w:r>
      <w:r w:rsidRPr="00DB399C">
        <w:t>Porque cosa de tan poco  ser como es esto que llamamos mujer, nunca ni emprende ni alcanza cosa de valor ni de ser</w:t>
      </w:r>
      <w:r w:rsidR="00D70D8E">
        <w:t xml:space="preserve"> (…)</w:t>
      </w:r>
      <w:r w:rsidRPr="00DB399C">
        <w:t xml:space="preserve"> (</w:t>
      </w:r>
      <w:r w:rsidR="00377891">
        <w:t xml:space="preserve">Fray Luis de León, </w:t>
      </w:r>
      <w:r>
        <w:t xml:space="preserve">1999: </w:t>
      </w:r>
      <w:r w:rsidRPr="00DB399C">
        <w:t xml:space="preserve">22).  </w:t>
      </w:r>
      <w:r w:rsidR="00E12E73">
        <w:t>Para el enunciador</w:t>
      </w:r>
      <w:r w:rsidRPr="00DB399C">
        <w:t>, la mujer en forma excepcional  logra superar el denominador co</w:t>
      </w:r>
      <w:r>
        <w:t xml:space="preserve">mún de la imperfección y </w:t>
      </w:r>
      <w:r w:rsidR="00E12E73">
        <w:t xml:space="preserve">cuando logra algún mérito no es por voluntad propia  </w:t>
      </w:r>
      <w:r>
        <w:t>s</w:t>
      </w:r>
      <w:r w:rsidR="00E12E73">
        <w:t xml:space="preserve">ino por la colaboración de las fuerzas divinas </w:t>
      </w:r>
      <w:r w:rsidRPr="00DB399C">
        <w:t xml:space="preserve"> y siendo así es denominada por el Espíritu Santo “mujer de valor” y la compara con las piedras preciosas</w:t>
      </w:r>
      <w:r w:rsidR="00E12E73">
        <w:t>. Además</w:t>
      </w:r>
      <w:r w:rsidR="00336CAC">
        <w:t>, en el caso de ser una mujer sobresaliente</w:t>
      </w:r>
      <w:r w:rsidR="00D70D8E">
        <w:t xml:space="preserve"> </w:t>
      </w:r>
      <w:r w:rsidRPr="00DB399C">
        <w:t xml:space="preserve"> es</w:t>
      </w:r>
      <w:r w:rsidR="00D70D8E">
        <w:t xml:space="preserve"> considerada </w:t>
      </w:r>
      <w:r w:rsidRPr="00DB399C">
        <w:t xml:space="preserve"> “mujer varonil” en tanto que  supera  los rasgos inherentes a su condición y se acerca a los rasgos otorgados al sujeto “medida de toda las cosas” cuya  masculinidad está determinada por “virtud de ánimo, fortaleza de corazón, industria y riqueza y poder y aventajamiento, y, finalmente, un ser perfecto y cabal en aquellas cosas a quien esta palabra [varonil] se aplica” (</w:t>
      </w:r>
      <w:r w:rsidR="00FF43FF">
        <w:t>Fray Luis de León</w:t>
      </w:r>
      <w:proofErr w:type="gramStart"/>
      <w:r w:rsidR="00FF43FF">
        <w:t>,</w:t>
      </w:r>
      <w:r>
        <w:t>1999</w:t>
      </w:r>
      <w:proofErr w:type="gramEnd"/>
      <w:r>
        <w:t xml:space="preserve">: </w:t>
      </w:r>
      <w:r w:rsidRPr="00DB399C">
        <w:t xml:space="preserve">22). </w:t>
      </w:r>
    </w:p>
    <w:p w:rsidR="00790D25" w:rsidRPr="00D70D8E" w:rsidRDefault="00790D25" w:rsidP="00D70D8E">
      <w:pPr>
        <w:pStyle w:val="4Textocentral"/>
        <w:rPr>
          <w:highlight w:val="yellow"/>
        </w:rPr>
      </w:pPr>
      <w:r w:rsidRPr="00D70D8E">
        <w:t xml:space="preserve">  Para el enunciador, la mujer no posee un valor en sí y  para sí  sino</w:t>
      </w:r>
      <w:r w:rsidR="00D70D8E">
        <w:t xml:space="preserve"> que </w:t>
      </w:r>
      <w:r w:rsidRPr="00D70D8E">
        <w:t xml:space="preserve"> es “cosa de valor” para el hombre y en relación a él, por lo tanto siempre es</w:t>
      </w:r>
      <w:r w:rsidR="00D70D8E">
        <w:t>tá</w:t>
      </w:r>
      <w:r w:rsidRPr="00D70D8E">
        <w:t xml:space="preserve"> subordinada al poder  masculino: “(…) así una buena mujer no es una mujer, sino un montón de riquezas, y quien la posee es rico con ella sola, y sola ella le puede hacer bienaventurado y dichoso” (</w:t>
      </w:r>
      <w:r w:rsidR="00FF43FF">
        <w:t>Fray Luis de León</w:t>
      </w:r>
      <w:r w:rsidR="00FF43FF" w:rsidRPr="00D70D8E">
        <w:t xml:space="preserve"> </w:t>
      </w:r>
      <w:r w:rsidRPr="00D70D8E">
        <w:t xml:space="preserve">1999: 23).  El enunciador trae a colación  una referencia bíblica diciendo: “Dios cuando quiso casar al hombre, dándole mujer, dijo: ‘Hagámosle un ayudador su semejante’ (Génesis, 2, 18), e interpreta que el oficio natural de la mujer es “ayudadora”, por lo tanto, condiciona a la mujer con un mandato divino que naturaliza su sujeción al varón con un rol secundario, el  de colaboradora, cooperadora pero </w:t>
      </w:r>
      <w:r w:rsidRPr="00D70D8E">
        <w:lastRenderedPageBreak/>
        <w:t>jamás en un rol protagónico.</w:t>
      </w:r>
    </w:p>
    <w:p w:rsidR="00790D25" w:rsidRPr="00DB399C" w:rsidRDefault="00790D25" w:rsidP="00D70D8E">
      <w:pPr>
        <w:pStyle w:val="4Textocentral"/>
      </w:pPr>
      <w:r w:rsidRPr="00DB399C">
        <w:t xml:space="preserve">  En esta dicotomía de pensamiento que venimos  señalando, se insiste en la idea “de que el hombre, que es la cordura y el valor y el seso y el maestro” (</w:t>
      </w:r>
      <w:r w:rsidR="00FF43FF">
        <w:t xml:space="preserve">Fray Luis de León, </w:t>
      </w:r>
      <w:r w:rsidR="00ED4D0C">
        <w:t>1999:</w:t>
      </w:r>
      <w:r w:rsidRPr="00DB399C">
        <w:t>31), tiene la función de “enseñarle con su ejemplo lo que quiere que ella haga con él mismo (…)  y aprenda ella a desvelarse en agradarle” (</w:t>
      </w:r>
      <w:r w:rsidR="00FF43FF">
        <w:t xml:space="preserve">Fray Luis de León, </w:t>
      </w:r>
      <w:r w:rsidR="00ED4D0C">
        <w:t>1999:</w:t>
      </w:r>
      <w:r w:rsidRPr="00DB399C">
        <w:t>31). El vínculo matrimonial se consolida en una relación de desigualdad en donde él es el maestro y ella, la discípula, con el agravante que no aprende para sí, sino para el otro.</w:t>
      </w:r>
      <w:r>
        <w:t xml:space="preserve"> </w:t>
      </w:r>
      <w:r w:rsidRPr="00DB399C">
        <w:t>Una referencia similar aparece en la Introducción</w:t>
      </w:r>
      <w:r w:rsidR="00FF43FF">
        <w:t xml:space="preserve"> a la obra</w:t>
      </w:r>
      <w:r w:rsidRPr="00DB399C">
        <w:t xml:space="preserve"> cuando señala que “la ley matrimonial del hombre con la mujer fuese como retrato e imagen viva de la unidad dulcísima y estrechísima que hay entre ÉL y su Iglesia (…)</w:t>
      </w:r>
      <w:r>
        <w:t>”</w:t>
      </w:r>
      <w:r w:rsidRPr="00DB399C">
        <w:t xml:space="preserve"> (</w:t>
      </w:r>
      <w:r w:rsidR="00FF43FF">
        <w:t xml:space="preserve">Fray Luis de León, </w:t>
      </w:r>
      <w:r>
        <w:t xml:space="preserve">1999: </w:t>
      </w:r>
      <w:r w:rsidRPr="00DB399C">
        <w:t>14). Y si el cuerpo de mujer es templo, el mismo queda bajo la custodiada masculina: la iglesia por los clérigos y la mujer por el marido. La doctrina católica estable una analogía entre Iglesia y esposa   cristiana, en donde Cristo es la cabeza de su esposa, la iglesia, y el hombre es la cabeza de su mujer, y como Cristo es para la iglesia espos</w:t>
      </w:r>
      <w:r w:rsidR="00FF43FF">
        <w:t xml:space="preserve">o, padre y maestro, el marido  deber serlo </w:t>
      </w:r>
      <w:r w:rsidRPr="00DB399C">
        <w:t xml:space="preserve">también para su mujer (Bel Bravo). </w:t>
      </w:r>
    </w:p>
    <w:p w:rsidR="00790D25" w:rsidRPr="00DB399C" w:rsidRDefault="00790D25" w:rsidP="00790D25">
      <w:pPr>
        <w:spacing w:after="0" w:line="360" w:lineRule="auto"/>
        <w:jc w:val="both"/>
        <w:rPr>
          <w:rFonts w:ascii="Times New Roman" w:hAnsi="Times New Roman"/>
          <w:sz w:val="24"/>
          <w:szCs w:val="24"/>
        </w:rPr>
      </w:pPr>
    </w:p>
    <w:p w:rsidR="00D875DE" w:rsidRPr="00DB399C" w:rsidRDefault="00A62B6E" w:rsidP="00ED4D0C">
      <w:pPr>
        <w:pStyle w:val="31Subttulo1"/>
      </w:pPr>
      <w:r>
        <w:t>Consideraciones finales</w:t>
      </w:r>
    </w:p>
    <w:p w:rsidR="00E0314F" w:rsidRDefault="00A62B6E" w:rsidP="00ED4D0C">
      <w:pPr>
        <w:pStyle w:val="4Textocentral"/>
      </w:pPr>
      <w:r w:rsidRPr="00D875DE">
        <w:rPr>
          <w:rStyle w:val="Cursiva"/>
        </w:rPr>
        <w:t>La perfecta casada</w:t>
      </w:r>
      <w:r>
        <w:t xml:space="preserve"> </w:t>
      </w:r>
      <w:r w:rsidR="00D875DE">
        <w:t>de Fray Luis</w:t>
      </w:r>
      <w:r>
        <w:t xml:space="preserve"> es un dispositivo disciplinario que </w:t>
      </w:r>
      <w:r w:rsidR="00D875DE">
        <w:t xml:space="preserve">partiendo de la concepción de  imperfección y debilidad femenina </w:t>
      </w:r>
      <w:r>
        <w:t xml:space="preserve">construye una representación </w:t>
      </w:r>
      <w:r w:rsidR="00790D25">
        <w:t xml:space="preserve"> </w:t>
      </w:r>
      <w:r>
        <w:t>de la “buena” y la “mala” mujer</w:t>
      </w:r>
      <w:r w:rsidR="00D875DE">
        <w:t>. D</w:t>
      </w:r>
      <w:r>
        <w:t xml:space="preserve">esde estas premisas será </w:t>
      </w:r>
      <w:r w:rsidR="00D875DE">
        <w:t>“</w:t>
      </w:r>
      <w:r>
        <w:t>buena</w:t>
      </w:r>
      <w:r w:rsidR="00D875DE">
        <w:t>”</w:t>
      </w:r>
      <w:r>
        <w:t xml:space="preserve"> la que es sujeto paciente</w:t>
      </w:r>
      <w:r w:rsidR="00D875DE">
        <w:t xml:space="preserve"> y </w:t>
      </w:r>
      <w:r>
        <w:t xml:space="preserve"> en quien recaen todos los sacrificios</w:t>
      </w:r>
      <w:r w:rsidR="00D875DE">
        <w:t>, nunca es un sujeto para sí sino que su identidad está en función de los otros:  “(…) ningún bien se viene tanto a los ojos humanos, ni causa en los pechos de los hombres tan grande satisfacción, como una mujer perfecta”</w:t>
      </w:r>
      <w:r w:rsidR="00E0314F">
        <w:t xml:space="preserve"> </w:t>
      </w:r>
      <w:r w:rsidR="00ED4D0C">
        <w:t>(</w:t>
      </w:r>
      <w:r w:rsidR="00D875DE">
        <w:t>1999:86)</w:t>
      </w:r>
      <w:r w:rsidR="00ED4D0C">
        <w:t xml:space="preserve"> dice Fray Luis</w:t>
      </w:r>
      <w:r w:rsidR="00D875DE">
        <w:t>, y el premio es el reconocimiento</w:t>
      </w:r>
      <w:r w:rsidR="00E0314F">
        <w:t xml:space="preserve"> en esta vida</w:t>
      </w:r>
      <w:r w:rsidR="00D875DE">
        <w:t>:</w:t>
      </w:r>
      <w:r w:rsidR="00E0314F">
        <w:t xml:space="preserve"> “</w:t>
      </w:r>
      <w:r w:rsidR="00D875DE">
        <w:t>Porque unos loan lo casero, otros encarecen la discreción</w:t>
      </w:r>
      <w:r w:rsidR="00E0314F">
        <w:t>, otros suben al cielo la modestia, la pureza, la piedad, la suavidad dulce y honesta” (</w:t>
      </w:r>
      <w:r w:rsidR="001F50C4">
        <w:t xml:space="preserve">Fray Luis de León, </w:t>
      </w:r>
      <w:r w:rsidR="00E0314F">
        <w:t>1999:86), y</w:t>
      </w:r>
      <w:r w:rsidR="00ED4D0C">
        <w:t>, también en</w:t>
      </w:r>
      <w:r w:rsidR="003A7698">
        <w:t xml:space="preserve"> la trascendencia </w:t>
      </w:r>
      <w:r w:rsidR="00E0314F">
        <w:t>a la vida eterna: “Dicen que fue santa para con Dios y bienaventurada para con su marido (…) (</w:t>
      </w:r>
      <w:r w:rsidR="001F50C4">
        <w:t xml:space="preserve">Fray Luis de León, </w:t>
      </w:r>
      <w:r w:rsidR="00E0314F">
        <w:t>1999:87).</w:t>
      </w:r>
    </w:p>
    <w:p w:rsidR="003E3F3E" w:rsidRDefault="003E3F3E" w:rsidP="00ED4D0C">
      <w:pPr>
        <w:pStyle w:val="4Textocentral"/>
      </w:pPr>
      <w:r>
        <w:t>Las casadas deben tener como don natural el ser buenas y honestas “que lo contrario es suceso aborrecible y de desventura, y hecho monstruoso” (</w:t>
      </w:r>
      <w:r w:rsidR="001F50C4">
        <w:t xml:space="preserve">Fray Luis de León, </w:t>
      </w:r>
      <w:r>
        <w:t>1999:25). Más adelante el enunciador agrega: “(…) si bien se mira, no sé yo si hay cosa más monstruosa y que más disuene de lo que es, que ser una mujer áspera y brava” (</w:t>
      </w:r>
      <w:r w:rsidR="001F50C4">
        <w:t xml:space="preserve">Fray Luis de León, </w:t>
      </w:r>
      <w:r>
        <w:t>1999:72)</w:t>
      </w:r>
      <w:r w:rsidR="00565F50">
        <w:t>, e</w:t>
      </w:r>
      <w:r>
        <w:t>n otras palabras, l</w:t>
      </w:r>
      <w:r w:rsidR="00E0314F">
        <w:t xml:space="preserve">a “mala” </w:t>
      </w:r>
      <w:r>
        <w:t xml:space="preserve">es </w:t>
      </w:r>
      <w:r w:rsidR="00565F50">
        <w:t xml:space="preserve">un </w:t>
      </w:r>
      <w:r>
        <w:t>monstruo</w:t>
      </w:r>
      <w:r w:rsidR="00565F50">
        <w:t>.</w:t>
      </w:r>
    </w:p>
    <w:p w:rsidR="003E3F3E" w:rsidRPr="0054606E" w:rsidRDefault="00565F50" w:rsidP="00ED4D0C">
      <w:pPr>
        <w:pStyle w:val="4Textocentral"/>
      </w:pPr>
      <w:r>
        <w:t xml:space="preserve"> El lexema monstruo </w:t>
      </w:r>
      <w:r w:rsidR="003E3F3E" w:rsidRPr="00CA7EA9">
        <w:t xml:space="preserve"> proviene del latín </w:t>
      </w:r>
      <w:proofErr w:type="spellStart"/>
      <w:r w:rsidR="003E3F3E" w:rsidRPr="00CA7EA9">
        <w:rPr>
          <w:i/>
          <w:iCs/>
        </w:rPr>
        <w:t>monstrum</w:t>
      </w:r>
      <w:proofErr w:type="spellEnd"/>
      <w:r w:rsidR="003E3F3E" w:rsidRPr="00CA7EA9">
        <w:rPr>
          <w:i/>
          <w:iCs/>
        </w:rPr>
        <w:t xml:space="preserve"> </w:t>
      </w:r>
      <w:r w:rsidR="00C766C7">
        <w:t>que</w:t>
      </w:r>
      <w:r w:rsidR="003E3F3E">
        <w:t xml:space="preserve"> significa “prodigio</w:t>
      </w:r>
      <w:r w:rsidR="00C766C7">
        <w:t>”</w:t>
      </w:r>
      <w:r>
        <w:t xml:space="preserve"> y </w:t>
      </w:r>
      <w:r w:rsidR="003E3F3E">
        <w:t xml:space="preserve"> pertenece a una familia </w:t>
      </w:r>
      <w:r w:rsidR="003E3F3E" w:rsidRPr="00CA7EA9">
        <w:t xml:space="preserve">etimológica donde se encuentran términos como </w:t>
      </w:r>
      <w:proofErr w:type="spellStart"/>
      <w:r w:rsidR="003A7698">
        <w:rPr>
          <w:i/>
          <w:iCs/>
        </w:rPr>
        <w:t>monstruosus</w:t>
      </w:r>
      <w:proofErr w:type="spellEnd"/>
      <w:r w:rsidR="003A7698">
        <w:rPr>
          <w:i/>
          <w:iCs/>
        </w:rPr>
        <w:t xml:space="preserve">, </w:t>
      </w:r>
      <w:r w:rsidR="003E3F3E">
        <w:t xml:space="preserve">“monstruoso, horrible”, o </w:t>
      </w:r>
      <w:proofErr w:type="spellStart"/>
      <w:r w:rsidR="003E3F3E">
        <w:rPr>
          <w:i/>
          <w:iCs/>
        </w:rPr>
        <w:t>monstrum</w:t>
      </w:r>
      <w:proofErr w:type="spellEnd"/>
      <w:r w:rsidR="003E3F3E">
        <w:rPr>
          <w:i/>
          <w:iCs/>
        </w:rPr>
        <w:t xml:space="preserve"> </w:t>
      </w:r>
      <w:r w:rsidR="003E3F3E">
        <w:rPr>
          <w:iCs/>
        </w:rPr>
        <w:t>“que muestra”</w:t>
      </w:r>
      <w:r w:rsidR="003E3F3E">
        <w:t xml:space="preserve">. Según </w:t>
      </w:r>
      <w:proofErr w:type="spellStart"/>
      <w:r w:rsidR="003E3F3E">
        <w:t>Torrano</w:t>
      </w:r>
      <w:proofErr w:type="spellEnd"/>
      <w:r w:rsidR="003E3F3E">
        <w:t xml:space="preserve"> </w:t>
      </w:r>
      <w:r w:rsidR="00336CAC">
        <w:t xml:space="preserve">(2012) </w:t>
      </w:r>
      <w:r w:rsidR="003E3F3E">
        <w:t xml:space="preserve">de </w:t>
      </w:r>
      <w:r w:rsidR="003E3F3E" w:rsidRPr="00CA7EA9">
        <w:t>acuerdo con esta definición el monstruo señala una ruptur</w:t>
      </w:r>
      <w:r w:rsidR="003E3F3E">
        <w:t xml:space="preserve">a, es una trasgresión a la ley, </w:t>
      </w:r>
      <w:r w:rsidR="003E3F3E" w:rsidRPr="00CA7EA9">
        <w:t>una excep</w:t>
      </w:r>
      <w:r w:rsidR="00C766C7">
        <w:t xml:space="preserve">ción a la norma. El </w:t>
      </w:r>
      <w:r w:rsidR="003E3F3E" w:rsidRPr="00CA7EA9">
        <w:t xml:space="preserve"> término plantea</w:t>
      </w:r>
      <w:r w:rsidR="003E3F3E">
        <w:t xml:space="preserve"> dos vertientes desde la cual </w:t>
      </w:r>
      <w:r w:rsidR="003E3F3E" w:rsidRPr="00CA7EA9">
        <w:t>puede entenderse lo monstruoso, por un lado, una esté</w:t>
      </w:r>
      <w:r w:rsidR="003E3F3E">
        <w:t xml:space="preserve">tica y, por otro, una moral. La </w:t>
      </w:r>
      <w:r w:rsidR="003E3F3E" w:rsidRPr="00CA7EA9">
        <w:rPr>
          <w:i/>
          <w:iCs/>
        </w:rPr>
        <w:t xml:space="preserve">perspectiva estética </w:t>
      </w:r>
      <w:r w:rsidR="003E3F3E" w:rsidRPr="00CA7EA9">
        <w:t xml:space="preserve">apunta </w:t>
      </w:r>
      <w:r w:rsidR="003E3F3E">
        <w:t>a lo feo con respecto a la idea de belleza</w:t>
      </w:r>
      <w:r w:rsidR="003E3F3E" w:rsidRPr="00CA7EA9">
        <w:t xml:space="preserve">. Si lo bello es la </w:t>
      </w:r>
      <w:r w:rsidR="003E3F3E" w:rsidRPr="00CA7EA9">
        <w:lastRenderedPageBreak/>
        <w:t>proporción, la simetría, e</w:t>
      </w:r>
      <w:r w:rsidR="003E3F3E">
        <w:t xml:space="preserve">l orden; la monstruosidad es la </w:t>
      </w:r>
      <w:r w:rsidR="003E3F3E" w:rsidRPr="00CA7EA9">
        <w:t xml:space="preserve">desproporción, lo inconmensurable, el caos. Por </w:t>
      </w:r>
      <w:r w:rsidR="00C766C7">
        <w:t>otro lado</w:t>
      </w:r>
      <w:r w:rsidR="003E3F3E" w:rsidRPr="00CA7EA9">
        <w:t>,</w:t>
      </w:r>
      <w:r w:rsidR="00C766C7">
        <w:t xml:space="preserve"> desde </w:t>
      </w:r>
      <w:r w:rsidR="003E3F3E" w:rsidRPr="00CA7EA9">
        <w:t xml:space="preserve"> la </w:t>
      </w:r>
      <w:r w:rsidR="003E3F3E" w:rsidRPr="00CA7EA9">
        <w:rPr>
          <w:i/>
          <w:iCs/>
        </w:rPr>
        <w:t xml:space="preserve">perspectiva moral </w:t>
      </w:r>
      <w:r w:rsidR="00C766C7">
        <w:rPr>
          <w:iCs/>
        </w:rPr>
        <w:t xml:space="preserve"> se </w:t>
      </w:r>
      <w:r w:rsidR="003E3F3E">
        <w:t xml:space="preserve">asocia la </w:t>
      </w:r>
      <w:r w:rsidR="003E3F3E" w:rsidRPr="00CA7EA9">
        <w:t xml:space="preserve">monstruosidad </w:t>
      </w:r>
      <w:r w:rsidR="00C766C7">
        <w:t>con el incumplimiento de las prescripciones disciplinarias conducentes a la “perfección”</w:t>
      </w:r>
      <w:r w:rsidR="00336CAC">
        <w:t xml:space="preserve">, es decir </w:t>
      </w:r>
      <w:r w:rsidR="00A5176A">
        <w:t xml:space="preserve"> lo  </w:t>
      </w:r>
      <w:r w:rsidR="00436392">
        <w:t xml:space="preserve"> monstruo</w:t>
      </w:r>
      <w:r w:rsidR="00A5176A">
        <w:t>so es lo marginal, lo que permanece fuera de la ley, por lo tanto la “mala”</w:t>
      </w:r>
      <w:r w:rsidR="00436392">
        <w:t xml:space="preserve"> </w:t>
      </w:r>
      <w:r w:rsidR="00336CAC">
        <w:t>mujer es quien queda al margen y comporta los anti-valores</w:t>
      </w:r>
      <w:r w:rsidR="00F9319C">
        <w:t>, ella es quien no se acomoda a la norma  propuesta</w:t>
      </w:r>
      <w:r w:rsidR="00336CAC">
        <w:t xml:space="preserve"> por el discurso disciplinario</w:t>
      </w:r>
      <w:r w:rsidR="00F9319C">
        <w:t xml:space="preserve"> y como consecuencia su accionar </w:t>
      </w:r>
      <w:r w:rsidR="00132A9C">
        <w:t xml:space="preserve">está fuera de la ley y </w:t>
      </w:r>
      <w:r w:rsidR="00336CAC">
        <w:t xml:space="preserve"> </w:t>
      </w:r>
      <w:r w:rsidR="00436392">
        <w:t>oscila entre el pecado y el delito al no cumplir con las prescripciones divinas ni con el m</w:t>
      </w:r>
      <w:r w:rsidR="00F9319C">
        <w:t>andato social</w:t>
      </w:r>
      <w:r w:rsidR="003E3F3E">
        <w:t>.</w:t>
      </w:r>
      <w:r w:rsidR="00C766C7">
        <w:t xml:space="preserve"> </w:t>
      </w:r>
    </w:p>
    <w:p w:rsidR="003E3F3E" w:rsidRDefault="003E3F3E" w:rsidP="00790D25">
      <w:pPr>
        <w:spacing w:after="0" w:line="360" w:lineRule="auto"/>
        <w:jc w:val="both"/>
        <w:rPr>
          <w:rFonts w:ascii="Times New Roman" w:hAnsi="Times New Roman"/>
          <w:sz w:val="24"/>
          <w:szCs w:val="24"/>
        </w:rPr>
      </w:pPr>
    </w:p>
    <w:p w:rsidR="001C0B5F" w:rsidRDefault="00A5176A" w:rsidP="00A5176A">
      <w:pPr>
        <w:pStyle w:val="31Subttulo1"/>
      </w:pPr>
      <w:r>
        <w:t>Bibliografía</w:t>
      </w:r>
    </w:p>
    <w:p w:rsidR="00A5176A" w:rsidRPr="00A5176A" w:rsidRDefault="00A5176A" w:rsidP="00A5176A">
      <w:pPr>
        <w:pStyle w:val="Bibliografa1"/>
      </w:pPr>
      <w:r w:rsidRPr="00A5176A">
        <w:t xml:space="preserve">Asensi Pérez, Manuel (2011). </w:t>
      </w:r>
      <w:r w:rsidRPr="00A5176A">
        <w:rPr>
          <w:i/>
        </w:rPr>
        <w:t>Crítica y sabotaje</w:t>
      </w:r>
      <w:r w:rsidRPr="00A5176A">
        <w:t>. Barcelona, Anthropos.</w:t>
      </w:r>
    </w:p>
    <w:p w:rsidR="00A5176A" w:rsidRPr="00A5176A" w:rsidRDefault="00A5176A" w:rsidP="00A5176A">
      <w:pPr>
        <w:pStyle w:val="Bibliografa1"/>
      </w:pPr>
      <w:r w:rsidRPr="00A5176A">
        <w:t xml:space="preserve">Bel Bravo, maría (2009). </w:t>
      </w:r>
      <w:r w:rsidRPr="00A5176A">
        <w:rPr>
          <w:i/>
        </w:rPr>
        <w:t>Mujer y cambio social en la Edad Moderna</w:t>
      </w:r>
      <w:r w:rsidRPr="00A5176A">
        <w:t>. Madrid, Encuentro.</w:t>
      </w:r>
    </w:p>
    <w:p w:rsidR="00A5176A" w:rsidRDefault="00A5176A" w:rsidP="00A5176A">
      <w:pPr>
        <w:pStyle w:val="Bibliografa1"/>
      </w:pPr>
      <w:r w:rsidRPr="00A5176A">
        <w:t xml:space="preserve">Bennassar, Bartolomé (2001). </w:t>
      </w:r>
      <w:r>
        <w:rPr>
          <w:i/>
        </w:rPr>
        <w:t>La España de los Austri</w:t>
      </w:r>
      <w:r w:rsidRPr="00A5176A">
        <w:rPr>
          <w:i/>
        </w:rPr>
        <w:t>as (1516-1700</w:t>
      </w:r>
      <w:r w:rsidRPr="00A5176A">
        <w:t>). Barcelona, Crítica.</w:t>
      </w:r>
    </w:p>
    <w:p w:rsidR="006D4051" w:rsidRPr="006D4051" w:rsidRDefault="006D4051" w:rsidP="00A5176A">
      <w:pPr>
        <w:pStyle w:val="Bibliografa1"/>
      </w:pPr>
      <w:r>
        <w:t xml:space="preserve">Clavero, Bartolomé (1990). “Delito y pecado. Noción y escala de transgresiones“, en </w:t>
      </w:r>
      <w:r>
        <w:rPr>
          <w:i/>
        </w:rPr>
        <w:t>Sexo barroco y otras transgresiones premodernas.</w:t>
      </w:r>
      <w:r>
        <w:t xml:space="preserve"> Madrid, Alianza.</w:t>
      </w:r>
    </w:p>
    <w:p w:rsidR="00A5176A" w:rsidRPr="00A5176A" w:rsidRDefault="00A5176A" w:rsidP="00A5176A">
      <w:pPr>
        <w:pStyle w:val="Bibliografa1"/>
      </w:pPr>
      <w:r w:rsidRPr="00A5176A">
        <w:t xml:space="preserve">De León, Fray Luis, (1999). </w:t>
      </w:r>
      <w:r w:rsidRPr="00A5176A">
        <w:rPr>
          <w:i/>
        </w:rPr>
        <w:t>La perfecta casada</w:t>
      </w:r>
      <w:r w:rsidRPr="00A5176A">
        <w:t>. Buenos Aires, Bureau editor.</w:t>
      </w:r>
    </w:p>
    <w:p w:rsidR="00A5176A" w:rsidRPr="00A5176A" w:rsidRDefault="00A5176A" w:rsidP="00A5176A">
      <w:pPr>
        <w:pStyle w:val="Bibliografa1"/>
      </w:pPr>
      <w:r w:rsidRPr="00A5176A">
        <w:t xml:space="preserve">Foucault, Michel  (1991). </w:t>
      </w:r>
      <w:r w:rsidRPr="00A5176A">
        <w:rPr>
          <w:i/>
        </w:rPr>
        <w:t>Las redes del poder</w:t>
      </w:r>
      <w:r w:rsidRPr="00A5176A">
        <w:t>. Buenos Aires, Almagesto.</w:t>
      </w:r>
    </w:p>
    <w:p w:rsidR="00A5176A" w:rsidRPr="00A5176A" w:rsidRDefault="00A5176A" w:rsidP="00A5176A">
      <w:pPr>
        <w:pStyle w:val="Bibliografa1"/>
      </w:pPr>
      <w:r w:rsidRPr="00A5176A">
        <w:t xml:space="preserve">---------------------- (2000). </w:t>
      </w:r>
      <w:r w:rsidRPr="00A5176A">
        <w:rPr>
          <w:i/>
        </w:rPr>
        <w:t>Tecnologías del Yo. Y otros textos afines</w:t>
      </w:r>
      <w:r w:rsidRPr="00A5176A">
        <w:t>. Barcelona, Paidós.</w:t>
      </w:r>
    </w:p>
    <w:p w:rsidR="00A5176A" w:rsidRPr="00A5176A" w:rsidRDefault="00A5176A" w:rsidP="00A5176A">
      <w:pPr>
        <w:pStyle w:val="Bibliografa1"/>
        <w:rPr>
          <w:rStyle w:val="Hipervnculo"/>
          <w:color w:val="000000"/>
          <w:u w:val="none"/>
        </w:rPr>
      </w:pPr>
      <w:r w:rsidRPr="00A5176A">
        <w:t xml:space="preserve">García Fanlo, Luis. (2011). “¿Qué es un dispositivo?: Foucault, Deleuze, Agamben”. En  </w:t>
      </w:r>
      <w:r w:rsidRPr="00A5176A">
        <w:rPr>
          <w:i/>
        </w:rPr>
        <w:t>Revista A Parte Rei. Revista de Filosofía</w:t>
      </w:r>
      <w:r w:rsidRPr="00A5176A">
        <w:t xml:space="preserve">, número 74  Madrid, 2011 en </w:t>
      </w:r>
      <w:hyperlink r:id="rId9" w:history="1">
        <w:r w:rsidRPr="00A5176A">
          <w:rPr>
            <w:rStyle w:val="Hipervnculo"/>
            <w:color w:val="000000"/>
            <w:u w:val="none"/>
          </w:rPr>
          <w:t>http://www.seminariofoucault.ecaths.com/</w:t>
        </w:r>
      </w:hyperlink>
    </w:p>
    <w:p w:rsidR="00A5176A" w:rsidRDefault="00A5176A" w:rsidP="00A5176A">
      <w:pPr>
        <w:pStyle w:val="Bibliografa1"/>
      </w:pPr>
      <w:r w:rsidRPr="00A5176A">
        <w:t xml:space="preserve">Mínguez Blasco, Raúl (2012). “De la perfecta casada a madre católica. Iglesia, género y discurso en España a mediados del siglo XIX”. En Ibarra Aguirregabiria (Coord.), </w:t>
      </w:r>
      <w:r w:rsidRPr="00A5176A">
        <w:rPr>
          <w:i/>
        </w:rPr>
        <w:t>No es país para jóvenes</w:t>
      </w:r>
      <w:r w:rsidRPr="00A5176A">
        <w:t xml:space="preserve">, España, Instituto Valentín Foronda. En  </w:t>
      </w:r>
      <w:hyperlink r:id="rId10" w:history="1">
        <w:r w:rsidRPr="00A5176A">
          <w:rPr>
            <w:rStyle w:val="Hipervnculo"/>
            <w:color w:val="000000"/>
            <w:u w:val="none"/>
          </w:rPr>
          <w:t>https://dialnet.unirioja.es</w:t>
        </w:r>
      </w:hyperlink>
    </w:p>
    <w:p w:rsidR="00E23F0C" w:rsidRPr="00E23F0C" w:rsidRDefault="00E23F0C" w:rsidP="00A5176A">
      <w:pPr>
        <w:pStyle w:val="Bibliografa1"/>
        <w:rPr>
          <w:i/>
        </w:rPr>
      </w:pPr>
      <w:r>
        <w:t xml:space="preserve">Torrano, Andrea (2012). “Ontologías de la monstruosidad: el cyborg  y el monstruo biopolitico“. En </w:t>
      </w:r>
      <w:r w:rsidRPr="00E23F0C">
        <w:rPr>
          <w:i/>
        </w:rPr>
        <w:t>Representaciones</w:t>
      </w:r>
      <w:r>
        <w:rPr>
          <w:i/>
        </w:rPr>
        <w:t xml:space="preserve"> </w:t>
      </w:r>
      <w:r w:rsidRPr="00E23F0C">
        <w:t>N°8</w:t>
      </w:r>
      <w:r>
        <w:t xml:space="preserve"> pp. 113-128. Córdoba.</w:t>
      </w:r>
    </w:p>
    <w:p w:rsidR="00A5176A" w:rsidRPr="00A5176A" w:rsidRDefault="00A5176A" w:rsidP="00A5176A">
      <w:pPr>
        <w:pStyle w:val="Bibliografa1"/>
      </w:pPr>
      <w:r w:rsidRPr="00A5176A">
        <w:t xml:space="preserve">Torremocha Hernández, Margarita (2010). </w:t>
      </w:r>
      <w:r w:rsidRPr="00A5176A">
        <w:rPr>
          <w:i/>
        </w:rPr>
        <w:t>La mujer imaginada. Visión literaria de la mujer castellana del Barroco.</w:t>
      </w:r>
      <w:r w:rsidRPr="00A5176A">
        <w:t xml:space="preserve"> Madrid, @becedario.</w:t>
      </w:r>
    </w:p>
    <w:p w:rsidR="00A5176A" w:rsidRPr="00A5176A" w:rsidRDefault="00A5176A" w:rsidP="00A5176A">
      <w:pPr>
        <w:pStyle w:val="Bibliografa1"/>
      </w:pPr>
      <w:r w:rsidRPr="00A5176A">
        <w:t xml:space="preserve">Villalba Pérez, Enrique (2004). </w:t>
      </w:r>
      <w:r w:rsidRPr="00A5176A">
        <w:rPr>
          <w:i/>
        </w:rPr>
        <w:t>¿Pecadoras o delincuentes? Delito y género en la corte (1580-1630).</w:t>
      </w:r>
      <w:r w:rsidRPr="00A5176A">
        <w:t xml:space="preserve"> Madrid, Calambur.</w:t>
      </w:r>
    </w:p>
    <w:p w:rsidR="00A5176A" w:rsidRPr="00A5176A" w:rsidRDefault="00A5176A" w:rsidP="00A5176A">
      <w:pPr>
        <w:pStyle w:val="4Textocentral"/>
      </w:pPr>
    </w:p>
    <w:sectPr w:rsidR="00A5176A" w:rsidRPr="00A517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01" w:rsidRDefault="00E12101" w:rsidP="001861C6">
      <w:r>
        <w:separator/>
      </w:r>
    </w:p>
  </w:endnote>
  <w:endnote w:type="continuationSeparator" w:id="0">
    <w:p w:rsidR="00E12101" w:rsidRDefault="00E12101"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01" w:rsidRDefault="00E12101" w:rsidP="001861C6">
      <w:r>
        <w:separator/>
      </w:r>
    </w:p>
  </w:footnote>
  <w:footnote w:type="continuationSeparator" w:id="0">
    <w:p w:rsidR="00E12101" w:rsidRDefault="00E12101" w:rsidP="001861C6">
      <w:r>
        <w:continuationSeparator/>
      </w:r>
    </w:p>
  </w:footnote>
  <w:footnote w:id="1">
    <w:p w:rsidR="00790D25" w:rsidRPr="00440BCF" w:rsidRDefault="00790D25" w:rsidP="00B37122">
      <w:pPr>
        <w:pStyle w:val="Notaalpie"/>
        <w:rPr>
          <w:lang w:val="es-AR"/>
        </w:rPr>
      </w:pPr>
      <w:r w:rsidRPr="00603AD1">
        <w:rPr>
          <w:rStyle w:val="Refdenotaalpie"/>
          <w:rFonts w:ascii="Times New Roman" w:hAnsi="Times New Roman"/>
        </w:rPr>
        <w:footnoteRef/>
      </w:r>
      <w:r w:rsidRPr="00440BCF">
        <w:rPr>
          <w:lang w:val="es-AR"/>
        </w:rPr>
        <w:t xml:space="preserve"> Este decreto invalidaba los matrimonios clandestinos, llamados matrimonios en secreto que eran una práctica ancestral. El Concilio estableció la </w:t>
      </w:r>
      <w:proofErr w:type="spellStart"/>
      <w:r w:rsidRPr="00440BCF">
        <w:rPr>
          <w:lang w:val="es-AR"/>
        </w:rPr>
        <w:t>sacramentalidad</w:t>
      </w:r>
      <w:proofErr w:type="spellEnd"/>
      <w:r w:rsidRPr="00440BCF">
        <w:rPr>
          <w:lang w:val="es-AR"/>
        </w:rPr>
        <w:t xml:space="preserve"> del matrimonio, la potestad de la iglesia sobre impedimentos y anulación del mismo, la regulación de las amonestaciones en la misa durante tres domingos consecutivos, el acto debía ser presidido por el sacerdote en ceremonia pública o en presencia de dos o más testigos. </w:t>
      </w:r>
    </w:p>
  </w:footnote>
  <w:footnote w:id="2">
    <w:p w:rsidR="00790D25" w:rsidRPr="00903BBF" w:rsidRDefault="00790D25" w:rsidP="00811165">
      <w:pPr>
        <w:pStyle w:val="Notaalpie"/>
        <w:rPr>
          <w:lang w:val="es-AR"/>
        </w:rPr>
      </w:pPr>
      <w:r w:rsidRPr="00AC0897">
        <w:rPr>
          <w:rStyle w:val="Refdenotaalpie"/>
          <w:rFonts w:ascii="Times New Roman" w:hAnsi="Times New Roman"/>
          <w:sz w:val="20"/>
          <w:szCs w:val="20"/>
        </w:rPr>
        <w:footnoteRef/>
      </w:r>
      <w:r w:rsidRPr="00903BBF">
        <w:rPr>
          <w:lang w:val="es-AR"/>
        </w:rPr>
        <w:t xml:space="preserve"> 1) </w:t>
      </w:r>
      <w:r w:rsidR="002213EE" w:rsidRPr="00903BBF">
        <w:rPr>
          <w:lang w:val="es-AR"/>
        </w:rPr>
        <w:t>Tecnologías</w:t>
      </w:r>
      <w:r w:rsidRPr="00903BBF">
        <w:rPr>
          <w:lang w:val="es-AR"/>
        </w:rPr>
        <w:t xml:space="preserve"> de producción, 2) tecnologías de sistemas de signos, 3) tecnologías de poder, 4) tecnologías del </w:t>
      </w:r>
      <w:proofErr w:type="gramStart"/>
      <w:r w:rsidRPr="00903BBF">
        <w:rPr>
          <w:lang w:val="es-AR"/>
        </w:rPr>
        <w:t>yo(</w:t>
      </w:r>
      <w:proofErr w:type="gramEnd"/>
      <w:r w:rsidRPr="00903BBF">
        <w:rPr>
          <w:lang w:val="es-AR"/>
        </w:rPr>
        <w:t>tecno :22).</w:t>
      </w:r>
    </w:p>
  </w:footnote>
  <w:footnote w:id="3">
    <w:p w:rsidR="00811165" w:rsidRPr="00440BCF" w:rsidRDefault="00811165" w:rsidP="00811165">
      <w:pPr>
        <w:pStyle w:val="Notaalpie"/>
        <w:rPr>
          <w:lang w:val="es-AR"/>
        </w:rPr>
      </w:pPr>
      <w:r>
        <w:rPr>
          <w:rStyle w:val="Refdenotaalpie"/>
        </w:rPr>
        <w:footnoteRef/>
      </w:r>
      <w:r w:rsidRPr="00811165">
        <w:rPr>
          <w:lang w:val="es-AR"/>
        </w:rPr>
        <w:t xml:space="preserve"> “Lo más propio de los sistemas </w:t>
      </w:r>
      <w:proofErr w:type="spellStart"/>
      <w:r w:rsidRPr="00811165">
        <w:rPr>
          <w:lang w:val="es-AR"/>
        </w:rPr>
        <w:t>modelizantes</w:t>
      </w:r>
      <w:proofErr w:type="spellEnd"/>
      <w:r w:rsidRPr="00811165">
        <w:rPr>
          <w:lang w:val="es-AR"/>
        </w:rPr>
        <w:t xml:space="preserve"> –señala </w:t>
      </w:r>
      <w:proofErr w:type="spellStart"/>
      <w:r w:rsidRPr="00811165">
        <w:rPr>
          <w:lang w:val="es-AR"/>
        </w:rPr>
        <w:t>Asensi</w:t>
      </w:r>
      <w:proofErr w:type="spellEnd"/>
      <w:r w:rsidRPr="00811165">
        <w:rPr>
          <w:lang w:val="es-AR"/>
        </w:rPr>
        <w:t xml:space="preserve">-  es la incitación y apelación a los individuos para que éstos realicen acciones y  produzcan discursos, hasta el punto que se pueda decir que un sistema </w:t>
      </w:r>
      <w:proofErr w:type="spellStart"/>
      <w:r w:rsidRPr="00811165">
        <w:rPr>
          <w:lang w:val="es-AR"/>
        </w:rPr>
        <w:t>modelizante</w:t>
      </w:r>
      <w:proofErr w:type="spellEnd"/>
      <w:r w:rsidRPr="00811165">
        <w:rPr>
          <w:lang w:val="es-AR"/>
        </w:rPr>
        <w:t xml:space="preserve"> se define por su carácter incitativo, apelativo y </w:t>
      </w:r>
      <w:proofErr w:type="spellStart"/>
      <w:r w:rsidRPr="00811165">
        <w:rPr>
          <w:lang w:val="es-AR"/>
        </w:rPr>
        <w:t>performativo</w:t>
      </w:r>
      <w:proofErr w:type="spellEnd"/>
      <w:r w:rsidRPr="00811165">
        <w:rPr>
          <w:lang w:val="es-AR"/>
        </w:rPr>
        <w:t xml:space="preserve">” (2011:17). </w:t>
      </w:r>
      <w:r w:rsidRPr="00440BCF">
        <w:rPr>
          <w:lang w:val="es-AR"/>
        </w:rPr>
        <w:t>El investigador entiende por “acción modelizadora” a la acción consistente en crear sujetos (cuerpos, gestos, acciones, discursos, subjetividades) que se representan y perciben el mundo según modelos previamente co</w:t>
      </w:r>
      <w:r w:rsidR="00B65F06">
        <w:rPr>
          <w:lang w:val="es-AR"/>
        </w:rPr>
        <w:t>dificados</w:t>
      </w:r>
      <w:r w:rsidRPr="00440BCF">
        <w:rPr>
          <w:lang w:val="es-AR"/>
        </w:rPr>
        <w:t xml:space="preserve"> cuya finalidad es la práctica de una política normativa y obligatoria.</w:t>
      </w:r>
    </w:p>
    <w:p w:rsidR="00811165" w:rsidRPr="00440BCF" w:rsidRDefault="00811165" w:rsidP="00811165">
      <w:pPr>
        <w:pStyle w:val="Notaalpie"/>
        <w:rPr>
          <w:lang w:val="es-AR"/>
        </w:rPr>
      </w:pPr>
    </w:p>
  </w:footnote>
  <w:footnote w:id="4">
    <w:p w:rsidR="00790D25" w:rsidRPr="00903BBF" w:rsidRDefault="00790D25" w:rsidP="00377891">
      <w:pPr>
        <w:pStyle w:val="Notaalpie"/>
        <w:rPr>
          <w:lang w:val="es-AR"/>
        </w:rPr>
      </w:pPr>
      <w:r w:rsidRPr="00DA58DD">
        <w:rPr>
          <w:rStyle w:val="Refdenotaalpie"/>
          <w:rFonts w:ascii="Times New Roman" w:hAnsi="Times New Roman"/>
        </w:rPr>
        <w:footnoteRef/>
      </w:r>
      <w:r w:rsidRPr="00903BBF">
        <w:rPr>
          <w:lang w:val="es-AR"/>
        </w:rPr>
        <w:t xml:space="preserve"> Citado por </w:t>
      </w:r>
      <w:proofErr w:type="spellStart"/>
      <w:r w:rsidRPr="00903BBF">
        <w:rPr>
          <w:lang w:val="es-AR"/>
        </w:rPr>
        <w:t>Villalba</w:t>
      </w:r>
      <w:proofErr w:type="spellEnd"/>
      <w:r w:rsidRPr="00903BBF">
        <w:rPr>
          <w:lang w:val="es-AR"/>
        </w:rPr>
        <w:t xml:space="preserve"> Pérez </w:t>
      </w:r>
      <w:proofErr w:type="spellStart"/>
      <w:r w:rsidRPr="00903BBF">
        <w:rPr>
          <w:lang w:val="es-AR"/>
        </w:rPr>
        <w:t>pag</w:t>
      </w:r>
      <w:proofErr w:type="spellEnd"/>
      <w:r w:rsidRPr="00903BBF">
        <w:rPr>
          <w:lang w:val="es-AR"/>
        </w:rPr>
        <w:t>. 23</w:t>
      </w:r>
    </w:p>
  </w:footnote>
  <w:footnote w:id="5">
    <w:p w:rsidR="00790D25" w:rsidRPr="00903BBF" w:rsidRDefault="00790D25" w:rsidP="00377891">
      <w:pPr>
        <w:pStyle w:val="Notaalpie"/>
        <w:rPr>
          <w:rFonts w:ascii="Times-Roman" w:hAnsi="Times-Roman" w:cs="Times-Roman"/>
          <w:sz w:val="20"/>
          <w:szCs w:val="20"/>
          <w:lang w:val="es-AR"/>
        </w:rPr>
      </w:pPr>
      <w:r>
        <w:rPr>
          <w:rStyle w:val="Refdenotaalpie"/>
        </w:rPr>
        <w:footnoteRef/>
      </w:r>
      <w:r w:rsidRPr="00903BBF">
        <w:rPr>
          <w:lang w:val="es-AR"/>
        </w:rPr>
        <w:t xml:space="preserve"> </w:t>
      </w:r>
      <w:r w:rsidRPr="00903BBF">
        <w:rPr>
          <w:rFonts w:ascii="Times-Roman" w:hAnsi="Times-Roman" w:cs="Times-Roman"/>
          <w:sz w:val="20"/>
          <w:szCs w:val="20"/>
          <w:lang w:val="es-AR"/>
        </w:rPr>
        <w:t>“Las promiscuas o quienes lucraban con su cuerpo, las mendigas o vagabundas, las que curaban o ejercían cualquier profesión que les estaba prohibida, eran vistas indistintamente como delincuentes, pecadoras, peligrosas o viciosas” ( Dolores Juliano, 2009:81).</w:t>
      </w:r>
    </w:p>
    <w:p w:rsidR="00790D25" w:rsidRPr="00903BBF" w:rsidRDefault="00790D25" w:rsidP="00377891">
      <w:pPr>
        <w:pStyle w:val="Notaalpie"/>
        <w:rPr>
          <w:rFonts w:ascii="Times-Roman" w:hAnsi="Times-Roman" w:cs="Times-Roman"/>
          <w:lang w:val="es-AR"/>
        </w:rPr>
      </w:pPr>
    </w:p>
    <w:p w:rsidR="00790D25" w:rsidRDefault="00790D25" w:rsidP="00790D2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25"/>
    <w:rsid w:val="00020A5F"/>
    <w:rsid w:val="0008724C"/>
    <w:rsid w:val="000D7D50"/>
    <w:rsid w:val="00132A9C"/>
    <w:rsid w:val="00185203"/>
    <w:rsid w:val="001861C6"/>
    <w:rsid w:val="001C0B5F"/>
    <w:rsid w:val="001F50C4"/>
    <w:rsid w:val="002213EE"/>
    <w:rsid w:val="002601A6"/>
    <w:rsid w:val="002918A5"/>
    <w:rsid w:val="002B2AC8"/>
    <w:rsid w:val="002C47DE"/>
    <w:rsid w:val="00336CAC"/>
    <w:rsid w:val="00371978"/>
    <w:rsid w:val="00377891"/>
    <w:rsid w:val="003A7698"/>
    <w:rsid w:val="003C16C3"/>
    <w:rsid w:val="003C2E0D"/>
    <w:rsid w:val="003D7F18"/>
    <w:rsid w:val="003E3F3E"/>
    <w:rsid w:val="003E4BD0"/>
    <w:rsid w:val="003E53E9"/>
    <w:rsid w:val="004009BD"/>
    <w:rsid w:val="00414BD6"/>
    <w:rsid w:val="00436392"/>
    <w:rsid w:val="00440BCF"/>
    <w:rsid w:val="00471056"/>
    <w:rsid w:val="005242CD"/>
    <w:rsid w:val="00565F50"/>
    <w:rsid w:val="00566773"/>
    <w:rsid w:val="005930CD"/>
    <w:rsid w:val="005C2FB3"/>
    <w:rsid w:val="005C33F2"/>
    <w:rsid w:val="005E5BF0"/>
    <w:rsid w:val="005F3038"/>
    <w:rsid w:val="00660BAF"/>
    <w:rsid w:val="006B4697"/>
    <w:rsid w:val="006D4051"/>
    <w:rsid w:val="006E13A5"/>
    <w:rsid w:val="00716CE9"/>
    <w:rsid w:val="007301E8"/>
    <w:rsid w:val="0074255C"/>
    <w:rsid w:val="007443C0"/>
    <w:rsid w:val="00750476"/>
    <w:rsid w:val="00790D25"/>
    <w:rsid w:val="00795D0F"/>
    <w:rsid w:val="00797F5C"/>
    <w:rsid w:val="007A7019"/>
    <w:rsid w:val="007C05B0"/>
    <w:rsid w:val="00811165"/>
    <w:rsid w:val="008A4BF7"/>
    <w:rsid w:val="008F56AC"/>
    <w:rsid w:val="00903BBF"/>
    <w:rsid w:val="009059F7"/>
    <w:rsid w:val="009942EE"/>
    <w:rsid w:val="009C5D92"/>
    <w:rsid w:val="009C7251"/>
    <w:rsid w:val="00A5176A"/>
    <w:rsid w:val="00A62B6E"/>
    <w:rsid w:val="00A77900"/>
    <w:rsid w:val="00A86D7D"/>
    <w:rsid w:val="00AA7D5C"/>
    <w:rsid w:val="00AB0472"/>
    <w:rsid w:val="00AC4705"/>
    <w:rsid w:val="00AE13CF"/>
    <w:rsid w:val="00B37122"/>
    <w:rsid w:val="00B65F06"/>
    <w:rsid w:val="00B8683C"/>
    <w:rsid w:val="00BF03A3"/>
    <w:rsid w:val="00C31753"/>
    <w:rsid w:val="00C766C7"/>
    <w:rsid w:val="00C9374D"/>
    <w:rsid w:val="00CB0E7F"/>
    <w:rsid w:val="00D06711"/>
    <w:rsid w:val="00D344AB"/>
    <w:rsid w:val="00D6634F"/>
    <w:rsid w:val="00D70D8E"/>
    <w:rsid w:val="00D875DE"/>
    <w:rsid w:val="00E0314F"/>
    <w:rsid w:val="00E11C2F"/>
    <w:rsid w:val="00E12101"/>
    <w:rsid w:val="00E12E73"/>
    <w:rsid w:val="00E23F0C"/>
    <w:rsid w:val="00ED4D0C"/>
    <w:rsid w:val="00EF249A"/>
    <w:rsid w:val="00EF2519"/>
    <w:rsid w:val="00F9319C"/>
    <w:rsid w:val="00FF43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25"/>
    <w:pPr>
      <w:spacing w:after="200" w:line="276" w:lineRule="auto"/>
    </w:pPr>
    <w:rPr>
      <w:rFonts w:eastAsia="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widowControl w:val="0"/>
      <w:spacing w:before="100" w:beforeAutospacing="1" w:after="240" w:line="300" w:lineRule="auto"/>
      <w:ind w:firstLine="706"/>
      <w:contextualSpacing/>
      <w:jc w:val="both"/>
      <w:outlineLvl w:val="0"/>
    </w:pPr>
    <w:rPr>
      <w:rFonts w:ascii="Cambria" w:eastAsia="MS Mincho" w:hAnsi="Cambria"/>
      <w:b/>
      <w:bCs/>
      <w:color w:val="000000"/>
      <w:sz w:val="24"/>
      <w:szCs w:val="24"/>
      <w:lang w:val="es-ES" w:eastAsia="es-ES"/>
    </w:rPr>
  </w:style>
  <w:style w:type="paragraph" w:customStyle="1" w:styleId="34Subttulo4">
    <w:name w:val="3.4 / Subtítulo 4"/>
    <w:basedOn w:val="Normal"/>
    <w:uiPriority w:val="99"/>
    <w:rsid w:val="00AC4705"/>
    <w:pPr>
      <w:widowControl w:val="0"/>
      <w:spacing w:after="120" w:line="300" w:lineRule="auto"/>
      <w:ind w:firstLine="706"/>
      <w:contextualSpacing/>
      <w:jc w:val="both"/>
      <w:outlineLvl w:val="0"/>
    </w:pPr>
    <w:rPr>
      <w:rFonts w:ascii="Cambria" w:eastAsia="MS Mincho" w:hAnsi="Cambria"/>
      <w:b/>
      <w:bCs/>
      <w:i/>
      <w:iCs/>
      <w:color w:val="000000"/>
      <w:szCs w:val="24"/>
      <w:lang w:val="es-ES" w:eastAsia="es-ES"/>
    </w:rPr>
  </w:style>
  <w:style w:type="paragraph" w:customStyle="1" w:styleId="35Subttulobibliobiografa">
    <w:name w:val="3.5 / Subtítulo biblio/bio/grafía"/>
    <w:basedOn w:val="Normal"/>
    <w:uiPriority w:val="99"/>
    <w:rsid w:val="00AC4705"/>
    <w:pPr>
      <w:pageBreakBefore/>
      <w:widowControl w:val="0"/>
      <w:spacing w:after="240" w:line="300" w:lineRule="auto"/>
      <w:ind w:left="567" w:hanging="567"/>
      <w:contextualSpacing/>
      <w:jc w:val="both"/>
    </w:pPr>
    <w:rPr>
      <w:rFonts w:ascii="Cambria" w:eastAsia="MS Mincho" w:hAnsi="Cambria"/>
      <w:b/>
      <w:bCs/>
      <w:color w:val="000000"/>
      <w:sz w:val="28"/>
      <w:szCs w:val="28"/>
      <w:lang w:val="es-ES" w:eastAsia="es-ES"/>
    </w:rPr>
  </w:style>
  <w:style w:type="paragraph" w:customStyle="1" w:styleId="4Textocentral">
    <w:name w:val="4 / Texto central"/>
    <w:basedOn w:val="Normal"/>
    <w:link w:val="4TextocentralCarCar"/>
    <w:uiPriority w:val="99"/>
    <w:rsid w:val="00750476"/>
    <w:pPr>
      <w:widowControl w:val="0"/>
      <w:spacing w:after="0" w:line="300" w:lineRule="auto"/>
      <w:ind w:firstLine="706"/>
      <w:contextualSpacing/>
      <w:jc w:val="both"/>
    </w:pPr>
    <w:rPr>
      <w:rFonts w:ascii="Cambria" w:eastAsia="MS Mincho" w:hAnsi="Cambria"/>
      <w:color w:val="000000"/>
      <w:szCs w:val="24"/>
      <w:lang w:val="es-ES" w:eastAsia="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widowControl w:val="0"/>
      <w:spacing w:before="240" w:after="240" w:line="240" w:lineRule="auto"/>
      <w:ind w:left="567" w:right="567" w:firstLine="706"/>
      <w:contextualSpacing/>
      <w:jc w:val="both"/>
    </w:pPr>
    <w:rPr>
      <w:rFonts w:eastAsia="MS Mincho" w:cs="Calibri"/>
      <w:color w:val="000000"/>
      <w:sz w:val="20"/>
      <w:szCs w:val="20"/>
      <w:lang w:val="es-ES" w:eastAsia="es-ES"/>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widowControl w:val="0"/>
      <w:spacing w:before="120" w:after="240" w:line="300" w:lineRule="auto"/>
      <w:ind w:left="562" w:hanging="562"/>
      <w:contextualSpacing/>
      <w:jc w:val="both"/>
    </w:pPr>
    <w:rPr>
      <w:rFonts w:eastAsia="MS Mincho"/>
      <w:color w:val="000000"/>
      <w:szCs w:val="24"/>
      <w:lang w:val="de-DE" w:eastAsia="es-ES"/>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6B4697"/>
    <w:rPr>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widowControl w:val="0"/>
      <w:spacing w:before="480" w:after="240" w:line="300" w:lineRule="auto"/>
      <w:ind w:firstLine="706"/>
      <w:contextualSpacing/>
      <w:jc w:val="both"/>
    </w:pPr>
    <w:rPr>
      <w:rFonts w:eastAsia="MS Mincho"/>
      <w:i/>
      <w:color w:val="000000"/>
      <w:sz w:val="20"/>
      <w:szCs w:val="20"/>
      <w:lang w:eastAsia="es-ES"/>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widowControl w:val="0"/>
      <w:spacing w:after="240" w:line="300" w:lineRule="auto"/>
      <w:ind w:firstLine="706"/>
      <w:contextualSpacing/>
      <w:jc w:val="both"/>
    </w:pPr>
    <w:rPr>
      <w:rFonts w:ascii="Arial" w:eastAsia="MS Mincho" w:hAnsi="Arial" w:cs="Arial"/>
      <w:b/>
      <w:bCs/>
      <w:color w:val="000000"/>
      <w:sz w:val="20"/>
      <w:szCs w:val="20"/>
      <w:lang w:val="es-ES" w:eastAsia="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widowControl w:val="0"/>
      <w:spacing w:after="240" w:line="300" w:lineRule="auto"/>
      <w:ind w:firstLine="706"/>
      <w:contextualSpacing/>
      <w:jc w:val="both"/>
    </w:pPr>
    <w:rPr>
      <w:rFonts w:ascii="Arial" w:eastAsia="MS Mincho" w:hAnsi="Arial" w:cs="Arial"/>
      <w:color w:val="000000"/>
      <w:sz w:val="20"/>
      <w:szCs w:val="20"/>
      <w:lang w:val="es-ES" w:eastAsia="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paragraph" w:styleId="Textonotapie">
    <w:name w:val="footnote text"/>
    <w:basedOn w:val="Normal"/>
    <w:link w:val="TextonotapieCar"/>
    <w:uiPriority w:val="99"/>
    <w:unhideWhenUsed/>
    <w:rsid w:val="00790D25"/>
    <w:pPr>
      <w:spacing w:after="0" w:line="240" w:lineRule="auto"/>
    </w:pPr>
    <w:rPr>
      <w:sz w:val="20"/>
      <w:szCs w:val="20"/>
    </w:rPr>
  </w:style>
  <w:style w:type="character" w:customStyle="1" w:styleId="TextonotapieCar">
    <w:name w:val="Texto nota pie Car"/>
    <w:basedOn w:val="Fuentedeprrafopredeter"/>
    <w:link w:val="Textonotapie"/>
    <w:uiPriority w:val="99"/>
    <w:rsid w:val="00790D25"/>
    <w:rPr>
      <w:rFonts w:eastAsia="Calibri"/>
      <w:lang w:eastAsia="en-US"/>
    </w:rPr>
  </w:style>
  <w:style w:type="character" w:styleId="Refdenotaalpie">
    <w:name w:val="footnote reference"/>
    <w:uiPriority w:val="99"/>
    <w:semiHidden/>
    <w:unhideWhenUsed/>
    <w:rsid w:val="00790D25"/>
    <w:rPr>
      <w:vertAlign w:val="superscript"/>
    </w:rPr>
  </w:style>
  <w:style w:type="character" w:styleId="Textoennegrita">
    <w:name w:val="Strong"/>
    <w:uiPriority w:val="22"/>
    <w:qFormat/>
    <w:rsid w:val="00790D25"/>
    <w:rPr>
      <w:b/>
      <w:bCs/>
    </w:rPr>
  </w:style>
  <w:style w:type="character" w:styleId="Hipervnculo">
    <w:name w:val="Hyperlink"/>
    <w:basedOn w:val="Fuentedeprrafopredeter"/>
    <w:uiPriority w:val="99"/>
    <w:unhideWhenUsed/>
    <w:rsid w:val="00A5176A"/>
    <w:rPr>
      <w:color w:val="0000FF"/>
      <w:u w:val="single"/>
    </w:rPr>
  </w:style>
  <w:style w:type="paragraph" w:styleId="Textodeglobo">
    <w:name w:val="Balloon Text"/>
    <w:basedOn w:val="Normal"/>
    <w:link w:val="TextodegloboCar"/>
    <w:uiPriority w:val="99"/>
    <w:semiHidden/>
    <w:unhideWhenUsed/>
    <w:rsid w:val="00471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05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25"/>
    <w:pPr>
      <w:spacing w:after="200" w:line="276" w:lineRule="auto"/>
    </w:pPr>
    <w:rPr>
      <w:rFonts w:eastAsia="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widowControl w:val="0"/>
      <w:spacing w:before="100" w:beforeAutospacing="1" w:after="240" w:line="300" w:lineRule="auto"/>
      <w:ind w:firstLine="706"/>
      <w:contextualSpacing/>
      <w:jc w:val="both"/>
      <w:outlineLvl w:val="0"/>
    </w:pPr>
    <w:rPr>
      <w:rFonts w:ascii="Cambria" w:eastAsia="MS Mincho" w:hAnsi="Cambria"/>
      <w:b/>
      <w:bCs/>
      <w:color w:val="000000"/>
      <w:sz w:val="24"/>
      <w:szCs w:val="24"/>
      <w:lang w:val="es-ES" w:eastAsia="es-ES"/>
    </w:rPr>
  </w:style>
  <w:style w:type="paragraph" w:customStyle="1" w:styleId="34Subttulo4">
    <w:name w:val="3.4 / Subtítulo 4"/>
    <w:basedOn w:val="Normal"/>
    <w:uiPriority w:val="99"/>
    <w:rsid w:val="00AC4705"/>
    <w:pPr>
      <w:widowControl w:val="0"/>
      <w:spacing w:after="120" w:line="300" w:lineRule="auto"/>
      <w:ind w:firstLine="706"/>
      <w:contextualSpacing/>
      <w:jc w:val="both"/>
      <w:outlineLvl w:val="0"/>
    </w:pPr>
    <w:rPr>
      <w:rFonts w:ascii="Cambria" w:eastAsia="MS Mincho" w:hAnsi="Cambria"/>
      <w:b/>
      <w:bCs/>
      <w:i/>
      <w:iCs/>
      <w:color w:val="000000"/>
      <w:szCs w:val="24"/>
      <w:lang w:val="es-ES" w:eastAsia="es-ES"/>
    </w:rPr>
  </w:style>
  <w:style w:type="paragraph" w:customStyle="1" w:styleId="35Subttulobibliobiografa">
    <w:name w:val="3.5 / Subtítulo biblio/bio/grafía"/>
    <w:basedOn w:val="Normal"/>
    <w:uiPriority w:val="99"/>
    <w:rsid w:val="00AC4705"/>
    <w:pPr>
      <w:pageBreakBefore/>
      <w:widowControl w:val="0"/>
      <w:spacing w:after="240" w:line="300" w:lineRule="auto"/>
      <w:ind w:left="567" w:hanging="567"/>
      <w:contextualSpacing/>
      <w:jc w:val="both"/>
    </w:pPr>
    <w:rPr>
      <w:rFonts w:ascii="Cambria" w:eastAsia="MS Mincho" w:hAnsi="Cambria"/>
      <w:b/>
      <w:bCs/>
      <w:color w:val="000000"/>
      <w:sz w:val="28"/>
      <w:szCs w:val="28"/>
      <w:lang w:val="es-ES" w:eastAsia="es-ES"/>
    </w:rPr>
  </w:style>
  <w:style w:type="paragraph" w:customStyle="1" w:styleId="4Textocentral">
    <w:name w:val="4 / Texto central"/>
    <w:basedOn w:val="Normal"/>
    <w:link w:val="4TextocentralCarCar"/>
    <w:uiPriority w:val="99"/>
    <w:rsid w:val="00750476"/>
    <w:pPr>
      <w:widowControl w:val="0"/>
      <w:spacing w:after="0" w:line="300" w:lineRule="auto"/>
      <w:ind w:firstLine="706"/>
      <w:contextualSpacing/>
      <w:jc w:val="both"/>
    </w:pPr>
    <w:rPr>
      <w:rFonts w:ascii="Cambria" w:eastAsia="MS Mincho" w:hAnsi="Cambria"/>
      <w:color w:val="000000"/>
      <w:szCs w:val="24"/>
      <w:lang w:val="es-ES" w:eastAsia="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widowControl w:val="0"/>
      <w:spacing w:before="240" w:after="240" w:line="240" w:lineRule="auto"/>
      <w:ind w:left="567" w:right="567" w:firstLine="706"/>
      <w:contextualSpacing/>
      <w:jc w:val="both"/>
    </w:pPr>
    <w:rPr>
      <w:rFonts w:eastAsia="MS Mincho" w:cs="Calibri"/>
      <w:color w:val="000000"/>
      <w:sz w:val="20"/>
      <w:szCs w:val="20"/>
      <w:lang w:val="es-ES" w:eastAsia="es-ES"/>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widowControl w:val="0"/>
      <w:spacing w:before="120" w:after="240" w:line="300" w:lineRule="auto"/>
      <w:ind w:left="562" w:hanging="562"/>
      <w:contextualSpacing/>
      <w:jc w:val="both"/>
    </w:pPr>
    <w:rPr>
      <w:rFonts w:eastAsia="MS Mincho"/>
      <w:color w:val="000000"/>
      <w:szCs w:val="24"/>
      <w:lang w:val="de-DE" w:eastAsia="es-ES"/>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6B4697"/>
    <w:rPr>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widowControl w:val="0"/>
      <w:spacing w:before="480" w:after="240" w:line="300" w:lineRule="auto"/>
      <w:ind w:firstLine="706"/>
      <w:contextualSpacing/>
      <w:jc w:val="both"/>
    </w:pPr>
    <w:rPr>
      <w:rFonts w:eastAsia="MS Mincho"/>
      <w:i/>
      <w:color w:val="000000"/>
      <w:sz w:val="20"/>
      <w:szCs w:val="20"/>
      <w:lang w:eastAsia="es-ES"/>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widowControl w:val="0"/>
      <w:spacing w:after="240" w:line="300" w:lineRule="auto"/>
      <w:ind w:firstLine="706"/>
      <w:contextualSpacing/>
      <w:jc w:val="both"/>
    </w:pPr>
    <w:rPr>
      <w:rFonts w:ascii="Arial" w:eastAsia="MS Mincho" w:hAnsi="Arial" w:cs="Arial"/>
      <w:b/>
      <w:bCs/>
      <w:color w:val="000000"/>
      <w:sz w:val="20"/>
      <w:szCs w:val="20"/>
      <w:lang w:val="es-ES" w:eastAsia="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widowControl w:val="0"/>
      <w:spacing w:after="240" w:line="300" w:lineRule="auto"/>
      <w:ind w:firstLine="706"/>
      <w:contextualSpacing/>
      <w:jc w:val="both"/>
    </w:pPr>
    <w:rPr>
      <w:rFonts w:ascii="Arial" w:eastAsia="MS Mincho" w:hAnsi="Arial" w:cs="Arial"/>
      <w:color w:val="000000"/>
      <w:sz w:val="20"/>
      <w:szCs w:val="20"/>
      <w:lang w:val="es-ES" w:eastAsia="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paragraph" w:styleId="Textonotapie">
    <w:name w:val="footnote text"/>
    <w:basedOn w:val="Normal"/>
    <w:link w:val="TextonotapieCar"/>
    <w:uiPriority w:val="99"/>
    <w:unhideWhenUsed/>
    <w:rsid w:val="00790D25"/>
    <w:pPr>
      <w:spacing w:after="0" w:line="240" w:lineRule="auto"/>
    </w:pPr>
    <w:rPr>
      <w:sz w:val="20"/>
      <w:szCs w:val="20"/>
    </w:rPr>
  </w:style>
  <w:style w:type="character" w:customStyle="1" w:styleId="TextonotapieCar">
    <w:name w:val="Texto nota pie Car"/>
    <w:basedOn w:val="Fuentedeprrafopredeter"/>
    <w:link w:val="Textonotapie"/>
    <w:uiPriority w:val="99"/>
    <w:rsid w:val="00790D25"/>
    <w:rPr>
      <w:rFonts w:eastAsia="Calibri"/>
      <w:lang w:eastAsia="en-US"/>
    </w:rPr>
  </w:style>
  <w:style w:type="character" w:styleId="Refdenotaalpie">
    <w:name w:val="footnote reference"/>
    <w:uiPriority w:val="99"/>
    <w:semiHidden/>
    <w:unhideWhenUsed/>
    <w:rsid w:val="00790D25"/>
    <w:rPr>
      <w:vertAlign w:val="superscript"/>
    </w:rPr>
  </w:style>
  <w:style w:type="character" w:styleId="Textoennegrita">
    <w:name w:val="Strong"/>
    <w:uiPriority w:val="22"/>
    <w:qFormat/>
    <w:rsid w:val="00790D25"/>
    <w:rPr>
      <w:b/>
      <w:bCs/>
    </w:rPr>
  </w:style>
  <w:style w:type="character" w:styleId="Hipervnculo">
    <w:name w:val="Hyperlink"/>
    <w:basedOn w:val="Fuentedeprrafopredeter"/>
    <w:uiPriority w:val="99"/>
    <w:unhideWhenUsed/>
    <w:rsid w:val="00A5176A"/>
    <w:rPr>
      <w:color w:val="0000FF"/>
      <w:u w:val="single"/>
    </w:rPr>
  </w:style>
  <w:style w:type="paragraph" w:styleId="Textodeglobo">
    <w:name w:val="Balloon Text"/>
    <w:basedOn w:val="Normal"/>
    <w:link w:val="TextodegloboCar"/>
    <w:uiPriority w:val="99"/>
    <w:semiHidden/>
    <w:unhideWhenUsed/>
    <w:rsid w:val="00471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05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alnet.unirioja.es" TargetMode="External"/><Relationship Id="rId4" Type="http://schemas.microsoft.com/office/2007/relationships/stylesWithEffects" Target="stylesWithEffects.xml"/><Relationship Id="rId9" Type="http://schemas.openxmlformats.org/officeDocument/2006/relationships/hyperlink" Target="http://www.seminariofoucault.ecath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9A6A-D7BC-4FDC-8F6C-3D385D81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Template>
  <TotalTime>729</TotalTime>
  <Pages>1</Pages>
  <Words>3932</Words>
  <Characters>21626</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cp:lastModifiedBy>
  <cp:revision>13</cp:revision>
  <cp:lastPrinted>2017-07-22T13:50:00Z</cp:lastPrinted>
  <dcterms:created xsi:type="dcterms:W3CDTF">2017-05-27T03:52:00Z</dcterms:created>
  <dcterms:modified xsi:type="dcterms:W3CDTF">2017-07-22T14:23:00Z</dcterms:modified>
</cp:coreProperties>
</file>