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265" w:rsidRPr="0057343F" w:rsidRDefault="00381265" w:rsidP="00DD3B94">
      <w:pPr>
        <w:pStyle w:val="31Subttulo1"/>
        <w:numPr>
          <w:ilvl w:val="0"/>
          <w:numId w:val="0"/>
        </w:numPr>
        <w:spacing w:before="0" w:after="0" w:line="360" w:lineRule="auto"/>
        <w:jc w:val="both"/>
        <w:rPr>
          <w:i w:val="0"/>
          <w:sz w:val="24"/>
          <w:szCs w:val="24"/>
        </w:rPr>
      </w:pPr>
      <w:bookmarkStart w:id="0" w:name="_GoBack"/>
      <w:bookmarkEnd w:id="0"/>
      <w:r w:rsidRPr="0057343F">
        <w:rPr>
          <w:i w:val="0"/>
          <w:sz w:val="24"/>
          <w:szCs w:val="24"/>
        </w:rPr>
        <w:t>La autonomía física de las mujeres en países miembros del Mercosur: una exploración</w:t>
      </w:r>
      <w:r w:rsidR="00885381" w:rsidRPr="0057343F">
        <w:rPr>
          <w:i w:val="0"/>
          <w:sz w:val="24"/>
          <w:szCs w:val="24"/>
          <w:vertAlign w:val="superscript"/>
        </w:rPr>
        <w:footnoteReference w:id="1"/>
      </w:r>
    </w:p>
    <w:p w:rsidR="007B70FB" w:rsidRPr="00880B3D" w:rsidRDefault="007B70FB" w:rsidP="00880B3D">
      <w:pPr>
        <w:pStyle w:val="31Subttulo1"/>
        <w:numPr>
          <w:ilvl w:val="0"/>
          <w:numId w:val="0"/>
        </w:numPr>
        <w:spacing w:before="0" w:after="0"/>
        <w:jc w:val="both"/>
        <w:rPr>
          <w:rFonts w:asciiTheme="minorHAnsi" w:hAnsiTheme="minorHAnsi"/>
          <w:b w:val="0"/>
          <w:bCs w:val="0"/>
          <w:i w:val="0"/>
          <w:color w:val="auto"/>
          <w:sz w:val="22"/>
          <w:szCs w:val="22"/>
          <w:lang w:val="es-AR" w:eastAsia="es-AR"/>
        </w:rPr>
      </w:pPr>
    </w:p>
    <w:p w:rsidR="00537776" w:rsidRPr="00D22D84" w:rsidRDefault="00537776" w:rsidP="0057343F">
      <w:pPr>
        <w:pStyle w:val="31Subttulo1"/>
        <w:numPr>
          <w:ilvl w:val="0"/>
          <w:numId w:val="0"/>
        </w:numPr>
        <w:spacing w:before="0" w:after="0" w:line="360" w:lineRule="auto"/>
        <w:rPr>
          <w:i w:val="0"/>
          <w:sz w:val="24"/>
          <w:szCs w:val="24"/>
        </w:rPr>
      </w:pPr>
      <w:r w:rsidRPr="00D22D84">
        <w:rPr>
          <w:i w:val="0"/>
          <w:sz w:val="24"/>
          <w:szCs w:val="24"/>
        </w:rPr>
        <w:t>Resumen</w:t>
      </w:r>
    </w:p>
    <w:p w:rsidR="00D016C4" w:rsidRDefault="00F43A58" w:rsidP="00585778">
      <w:pPr>
        <w:pStyle w:val="31Subttulo1"/>
        <w:numPr>
          <w:ilvl w:val="0"/>
          <w:numId w:val="0"/>
        </w:numPr>
        <w:spacing w:before="0" w:after="0"/>
        <w:jc w:val="both"/>
        <w:rPr>
          <w:rFonts w:asciiTheme="minorHAnsi" w:hAnsiTheme="minorHAnsi"/>
          <w:b w:val="0"/>
          <w:bCs w:val="0"/>
          <w:i w:val="0"/>
          <w:color w:val="auto"/>
          <w:sz w:val="22"/>
          <w:szCs w:val="22"/>
          <w:lang w:val="es-AR" w:eastAsia="es-AR"/>
        </w:rPr>
      </w:pPr>
      <w:r w:rsidRPr="00F43A58">
        <w:rPr>
          <w:rFonts w:asciiTheme="minorHAnsi" w:hAnsiTheme="minorHAnsi"/>
          <w:b w:val="0"/>
          <w:bCs w:val="0"/>
          <w:i w:val="0"/>
          <w:color w:val="auto"/>
          <w:sz w:val="22"/>
          <w:szCs w:val="22"/>
          <w:lang w:val="es-AR" w:eastAsia="es-AR"/>
        </w:rPr>
        <w:t xml:space="preserve">Este trabajo realiza una somera descripción de ciertos aspectos vinculados a la autonomía física de la población femenina que compone el Mercosur. </w:t>
      </w:r>
      <w:r>
        <w:rPr>
          <w:rFonts w:asciiTheme="minorHAnsi" w:hAnsiTheme="minorHAnsi"/>
          <w:b w:val="0"/>
          <w:bCs w:val="0"/>
          <w:i w:val="0"/>
          <w:color w:val="auto"/>
          <w:sz w:val="22"/>
          <w:szCs w:val="22"/>
          <w:lang w:val="es-AR" w:eastAsia="es-AR"/>
        </w:rPr>
        <w:t>M</w:t>
      </w:r>
      <w:r w:rsidRPr="00F43A58">
        <w:rPr>
          <w:rFonts w:asciiTheme="minorHAnsi" w:hAnsiTheme="minorHAnsi"/>
          <w:b w:val="0"/>
          <w:bCs w:val="0"/>
          <w:i w:val="0"/>
          <w:color w:val="auto"/>
          <w:sz w:val="22"/>
          <w:szCs w:val="22"/>
          <w:lang w:val="es-AR" w:eastAsia="es-AR"/>
        </w:rPr>
        <w:t>ediante el análisis y la descripción de los indicadores: femicidios, muerte de mujeres ocasionada por su pareja o ex-pareja íntima, maternidad adolescente, mortalidad materna y demanda insatisfecha de planificación familiar propuestos por el Observatorio de Igualdad de Género de América Latina y el Caribe de la Comisión Económica para América Latina y el Caribe (CEPAL) se abordan dos de las dimensiones que dan cuenta de la problemática aludida: el respeto a los derechos reproductivos de las mujeres y la violencia de género.</w:t>
      </w:r>
    </w:p>
    <w:p w:rsidR="00633140" w:rsidRDefault="00633140" w:rsidP="00E72404">
      <w:pPr>
        <w:pStyle w:val="31Subttulo1"/>
        <w:numPr>
          <w:ilvl w:val="0"/>
          <w:numId w:val="0"/>
        </w:numPr>
        <w:spacing w:before="0" w:after="0"/>
        <w:jc w:val="both"/>
        <w:rPr>
          <w:rFonts w:asciiTheme="minorHAnsi" w:hAnsiTheme="minorHAnsi"/>
          <w:b w:val="0"/>
          <w:bCs w:val="0"/>
          <w:i w:val="0"/>
          <w:color w:val="auto"/>
          <w:sz w:val="22"/>
          <w:szCs w:val="22"/>
          <w:lang w:val="es-AR" w:eastAsia="es-AR"/>
        </w:rPr>
      </w:pPr>
    </w:p>
    <w:p w:rsidR="00E72404" w:rsidRDefault="00E72404" w:rsidP="00E72404">
      <w:pPr>
        <w:pStyle w:val="31Subttulo1"/>
        <w:numPr>
          <w:ilvl w:val="0"/>
          <w:numId w:val="0"/>
        </w:numPr>
        <w:spacing w:before="0" w:after="0"/>
        <w:jc w:val="both"/>
        <w:rPr>
          <w:rFonts w:asciiTheme="minorHAnsi" w:hAnsiTheme="minorHAnsi"/>
          <w:b w:val="0"/>
          <w:bCs w:val="0"/>
          <w:i w:val="0"/>
          <w:color w:val="auto"/>
          <w:sz w:val="22"/>
          <w:szCs w:val="22"/>
          <w:lang w:val="es-AR" w:eastAsia="es-AR"/>
        </w:rPr>
      </w:pPr>
      <w:r w:rsidRPr="00880B3D">
        <w:rPr>
          <w:rFonts w:asciiTheme="minorHAnsi" w:hAnsiTheme="minorHAnsi"/>
          <w:b w:val="0"/>
          <w:bCs w:val="0"/>
          <w:i w:val="0"/>
          <w:color w:val="auto"/>
          <w:sz w:val="22"/>
          <w:szCs w:val="22"/>
          <w:lang w:val="es-AR" w:eastAsia="es-AR"/>
        </w:rPr>
        <w:t xml:space="preserve">Palabras claves: mujeres, autonomía física, Mercosur </w:t>
      </w:r>
    </w:p>
    <w:p w:rsidR="00585778" w:rsidRPr="00F43A58" w:rsidRDefault="00585778" w:rsidP="00585778">
      <w:pPr>
        <w:pStyle w:val="31Subttulo1"/>
        <w:numPr>
          <w:ilvl w:val="0"/>
          <w:numId w:val="0"/>
        </w:numPr>
        <w:spacing w:before="0" w:after="0"/>
        <w:jc w:val="both"/>
        <w:rPr>
          <w:rFonts w:asciiTheme="minorHAnsi" w:hAnsiTheme="minorHAnsi"/>
          <w:b w:val="0"/>
          <w:bCs w:val="0"/>
          <w:i w:val="0"/>
          <w:color w:val="auto"/>
          <w:sz w:val="22"/>
          <w:szCs w:val="22"/>
          <w:lang w:val="es-AR" w:eastAsia="es-AR"/>
        </w:rPr>
      </w:pPr>
    </w:p>
    <w:p w:rsidR="00537776" w:rsidRPr="009845E2" w:rsidRDefault="00537776" w:rsidP="009845E2">
      <w:pPr>
        <w:pStyle w:val="31Subttulo1"/>
        <w:spacing w:before="0" w:after="0" w:line="360" w:lineRule="auto"/>
        <w:ind w:left="357" w:hanging="357"/>
        <w:rPr>
          <w:sz w:val="22"/>
          <w:szCs w:val="22"/>
        </w:rPr>
      </w:pPr>
      <w:r w:rsidRPr="009845E2">
        <w:rPr>
          <w:sz w:val="22"/>
          <w:szCs w:val="22"/>
        </w:rPr>
        <w:t>Presentaci</w:t>
      </w:r>
      <w:r w:rsidR="00CA4662" w:rsidRPr="009845E2">
        <w:rPr>
          <w:sz w:val="22"/>
          <w:szCs w:val="22"/>
        </w:rPr>
        <w:t>ó</w:t>
      </w:r>
      <w:r w:rsidRPr="009845E2">
        <w:rPr>
          <w:sz w:val="22"/>
          <w:szCs w:val="22"/>
        </w:rPr>
        <w:t>n</w:t>
      </w:r>
    </w:p>
    <w:p w:rsidR="00A75495" w:rsidRPr="00A75495" w:rsidRDefault="00A75495" w:rsidP="006928B1">
      <w:pPr>
        <w:widowControl w:val="0"/>
        <w:spacing w:line="300" w:lineRule="auto"/>
        <w:contextualSpacing/>
        <w:jc w:val="both"/>
        <w:rPr>
          <w:rFonts w:asciiTheme="minorHAnsi" w:hAnsiTheme="minorHAnsi"/>
          <w:sz w:val="22"/>
          <w:szCs w:val="22"/>
          <w:lang w:val="es-AR"/>
        </w:rPr>
      </w:pPr>
      <w:r w:rsidRPr="00A75495">
        <w:rPr>
          <w:rFonts w:asciiTheme="minorHAnsi" w:hAnsiTheme="minorHAnsi"/>
          <w:sz w:val="22"/>
          <w:szCs w:val="22"/>
          <w:lang w:val="es-AR" w:eastAsia="es-AR"/>
        </w:rPr>
        <w:t>Comúnmente se piensa que todo lo que se busca explicar en relación con los seres humanos puede aclararse a partir de la consideración de individuos aislados. Pero como los seres humanos se asocian entre grupos, los conflictos son un aspecto de las estructuras sociales, producto de la convivencia: “</w:t>
      </w:r>
      <w:r w:rsidRPr="00A75495">
        <w:rPr>
          <w:rFonts w:asciiTheme="minorHAnsi" w:hAnsiTheme="minorHAnsi"/>
          <w:i/>
          <w:sz w:val="22"/>
          <w:szCs w:val="22"/>
          <w:lang w:val="es-AR" w:eastAsia="es-AR"/>
        </w:rPr>
        <w:t>No es la agresividad lo que desencadena los conflictos, sino los conflictos los que desencadenan la agresividad</w:t>
      </w:r>
      <w:r w:rsidRPr="00A75495">
        <w:rPr>
          <w:rFonts w:asciiTheme="minorHAnsi" w:hAnsiTheme="minorHAnsi"/>
          <w:sz w:val="22"/>
          <w:szCs w:val="22"/>
          <w:lang w:val="es-AR" w:eastAsia="es-AR"/>
        </w:rPr>
        <w:t>” (</w:t>
      </w:r>
      <w:proofErr w:type="spellStart"/>
      <w:r w:rsidRPr="00A75495">
        <w:rPr>
          <w:rFonts w:asciiTheme="minorHAnsi" w:hAnsiTheme="minorHAnsi"/>
          <w:sz w:val="22"/>
          <w:szCs w:val="22"/>
          <w:lang w:val="es-AR" w:eastAsia="es-AR"/>
        </w:rPr>
        <w:t>Elias</w:t>
      </w:r>
      <w:proofErr w:type="spellEnd"/>
      <w:r w:rsidRPr="00A75495">
        <w:rPr>
          <w:rFonts w:asciiTheme="minorHAnsi" w:hAnsiTheme="minorHAnsi"/>
          <w:sz w:val="22"/>
          <w:szCs w:val="22"/>
          <w:lang w:val="es-AR" w:eastAsia="es-AR"/>
        </w:rPr>
        <w:t xml:space="preserve">, 2009: 186). Y al advertir el alcance de tal enunciado se hace posible explicitar el interrogante que tensa esta investigación: ¿cuál es el conflicto grupal que se procura zanjar mediante la </w:t>
      </w:r>
      <w:proofErr w:type="spellStart"/>
      <w:r w:rsidRPr="00A75495">
        <w:rPr>
          <w:rFonts w:asciiTheme="minorHAnsi" w:hAnsiTheme="minorHAnsi"/>
          <w:sz w:val="22"/>
          <w:szCs w:val="22"/>
          <w:lang w:val="es-AR" w:eastAsia="es-AR"/>
        </w:rPr>
        <w:t>visibilización</w:t>
      </w:r>
      <w:proofErr w:type="spellEnd"/>
      <w:r w:rsidRPr="00A75495">
        <w:rPr>
          <w:rFonts w:asciiTheme="minorHAnsi" w:hAnsiTheme="minorHAnsi"/>
          <w:sz w:val="22"/>
          <w:szCs w:val="22"/>
          <w:lang w:val="es-AR" w:eastAsia="es-AR"/>
        </w:rPr>
        <w:t xml:space="preserve"> de la </w:t>
      </w:r>
      <w:r w:rsidRPr="00A75495">
        <w:rPr>
          <w:rFonts w:asciiTheme="minorHAnsi" w:hAnsiTheme="minorHAnsi"/>
          <w:sz w:val="22"/>
          <w:szCs w:val="22"/>
          <w:lang w:val="es-AR"/>
        </w:rPr>
        <w:t xml:space="preserve">situación de las mujeres, considerando que son objeto de prácticas discriminatorias vinculadas con la redistribución social y económica, así como con el reconocimiento político y simbólico, todo lo cual atenta contra su autonomía, ya sea económica, física o en la toma de decisiones? </w:t>
      </w:r>
    </w:p>
    <w:p w:rsidR="00A75495" w:rsidRPr="00A75495" w:rsidRDefault="00A75495" w:rsidP="00585778">
      <w:pPr>
        <w:widowControl w:val="0"/>
        <w:spacing w:line="300" w:lineRule="auto"/>
        <w:ind w:firstLine="720"/>
        <w:contextualSpacing/>
        <w:jc w:val="both"/>
        <w:rPr>
          <w:rFonts w:asciiTheme="minorHAnsi" w:hAnsiTheme="minorHAnsi"/>
          <w:sz w:val="22"/>
          <w:szCs w:val="22"/>
          <w:lang w:val="es-AR"/>
        </w:rPr>
      </w:pPr>
      <w:r w:rsidRPr="00A75495">
        <w:rPr>
          <w:rFonts w:asciiTheme="minorHAnsi" w:hAnsiTheme="minorHAnsi"/>
          <w:sz w:val="22"/>
          <w:szCs w:val="22"/>
          <w:lang w:val="es-AR"/>
        </w:rPr>
        <w:t xml:space="preserve">Existe coincidencia en afirmar que es una obligación de los Estados mejorar las condiciones de vida de la población mediante políticas que permitan transitar, en este caso, hacia la superación de las situaciones de discriminación que socavan el bienestar de las mujeres y de las niñas en cuanto individuos y en cuanto grupo social. </w:t>
      </w:r>
    </w:p>
    <w:p w:rsidR="00A75495" w:rsidRPr="00A75495" w:rsidRDefault="00A75495" w:rsidP="00585778">
      <w:pPr>
        <w:widowControl w:val="0"/>
        <w:spacing w:line="300" w:lineRule="auto"/>
        <w:ind w:firstLine="720"/>
        <w:contextualSpacing/>
        <w:jc w:val="both"/>
        <w:rPr>
          <w:rFonts w:asciiTheme="minorHAnsi" w:hAnsiTheme="minorHAnsi"/>
          <w:sz w:val="22"/>
          <w:szCs w:val="22"/>
          <w:lang w:val="es-AR" w:eastAsia="es-AR"/>
        </w:rPr>
      </w:pPr>
      <w:r w:rsidRPr="00A75495">
        <w:rPr>
          <w:rFonts w:asciiTheme="minorHAnsi" w:hAnsiTheme="minorHAnsi"/>
          <w:sz w:val="22"/>
          <w:szCs w:val="22"/>
          <w:lang w:val="es-AR"/>
        </w:rPr>
        <w:t xml:space="preserve">Igualmente existe la inquietud social y política de determinar por qué los varones en la región se involucran en hechos de violencia poniendo en riesgo a mujeres, niñas/os y a otros </w:t>
      </w:r>
      <w:proofErr w:type="gramStart"/>
      <w:r w:rsidRPr="00A75495">
        <w:rPr>
          <w:rFonts w:asciiTheme="minorHAnsi" w:hAnsiTheme="minorHAnsi"/>
          <w:sz w:val="22"/>
          <w:szCs w:val="22"/>
          <w:lang w:val="es-AR"/>
        </w:rPr>
        <w:t>hombres</w:t>
      </w:r>
      <w:proofErr w:type="gramEnd"/>
      <w:r w:rsidRPr="00A75495">
        <w:rPr>
          <w:rFonts w:asciiTheme="minorHAnsi" w:hAnsiTheme="minorHAnsi"/>
          <w:sz w:val="22"/>
          <w:szCs w:val="22"/>
          <w:lang w:val="es-AR"/>
        </w:rPr>
        <w:t xml:space="preserve"> aunque, las investigaciones revelan que el uso de la </w:t>
      </w:r>
      <w:r w:rsidR="005254A3">
        <w:rPr>
          <w:rFonts w:asciiTheme="minorHAnsi" w:hAnsiTheme="minorHAnsi"/>
          <w:sz w:val="22"/>
          <w:szCs w:val="22"/>
          <w:lang w:val="es-AR"/>
        </w:rPr>
        <w:t>violencia</w:t>
      </w:r>
      <w:r w:rsidRPr="00A75495">
        <w:rPr>
          <w:rFonts w:asciiTheme="minorHAnsi" w:hAnsiTheme="minorHAnsi"/>
          <w:sz w:val="22"/>
          <w:szCs w:val="22"/>
          <w:lang w:val="es-AR"/>
        </w:rPr>
        <w:t xml:space="preserve"> se encuentra asociado al mundo masculino </w:t>
      </w:r>
      <w:r w:rsidRPr="00A75495">
        <w:rPr>
          <w:rFonts w:asciiTheme="minorHAnsi" w:hAnsiTheme="minorHAnsi"/>
          <w:sz w:val="22"/>
          <w:szCs w:val="22"/>
          <w:lang w:val="es-AR" w:eastAsia="es-AR"/>
        </w:rPr>
        <w:t>(Barker, Aguayo y Correa, 2013:5)</w:t>
      </w:r>
      <w:r w:rsidRPr="00A75495">
        <w:rPr>
          <w:rFonts w:asciiTheme="minorHAnsi" w:hAnsiTheme="minorHAnsi"/>
          <w:sz w:val="22"/>
          <w:szCs w:val="22"/>
          <w:lang w:val="es-AR"/>
        </w:rPr>
        <w:t xml:space="preserve">. Pese a que en las últimas décadas se han logrado avances persisten inequidades asociadas a patrones de socialización y a normas estereotipadas y tradicionales de género, entre otros factores, que promueven y sostienen la violencia en sus múltiples aspectos en contextos sociales, laborales, familiares y de pareja. </w:t>
      </w:r>
      <w:r w:rsidRPr="00A75495">
        <w:rPr>
          <w:rFonts w:asciiTheme="minorHAnsi" w:hAnsiTheme="minorHAnsi"/>
          <w:sz w:val="22"/>
          <w:szCs w:val="22"/>
          <w:lang w:val="es-AR" w:eastAsia="es-AR"/>
        </w:rPr>
        <w:t xml:space="preserve">Una prevalente forma de violencia masculina es aquella que se ejerce contra las mujeres y las niñas (VCM/N) denominada violencia de género o violencia basada en razones de género expresión que se emplea para resaltar que la </w:t>
      </w:r>
      <w:r w:rsidRPr="00A75495">
        <w:rPr>
          <w:rFonts w:asciiTheme="minorHAnsi" w:hAnsiTheme="minorHAnsi"/>
          <w:sz w:val="22"/>
          <w:szCs w:val="22"/>
          <w:lang w:val="es-AR" w:eastAsia="es-AR"/>
        </w:rPr>
        <w:lastRenderedPageBreak/>
        <w:t xml:space="preserve">agresión a las mujeres y niñas difiere de la violencia destinada a los varones puesto que las mujeres, históricamente, han sido subyugadas en contextos de subordinación social, legal y económica </w:t>
      </w:r>
      <w:r w:rsidR="00633140" w:rsidRPr="00A75495">
        <w:rPr>
          <w:rFonts w:asciiTheme="minorHAnsi" w:hAnsiTheme="minorHAnsi"/>
          <w:sz w:val="22"/>
          <w:szCs w:val="22"/>
          <w:lang w:val="es-AR" w:eastAsia="es-AR"/>
        </w:rPr>
        <w:t>—</w:t>
      </w:r>
      <w:r w:rsidRPr="00A75495">
        <w:rPr>
          <w:rFonts w:asciiTheme="minorHAnsi" w:hAnsiTheme="minorHAnsi"/>
          <w:sz w:val="22"/>
          <w:szCs w:val="22"/>
          <w:lang w:val="es-AR" w:eastAsia="es-AR"/>
        </w:rPr>
        <w:t xml:space="preserve">en algunos casos </w:t>
      </w:r>
      <w:r w:rsidR="00633140" w:rsidRPr="00A75495">
        <w:rPr>
          <w:rFonts w:asciiTheme="minorHAnsi" w:hAnsiTheme="minorHAnsi"/>
          <w:sz w:val="22"/>
          <w:szCs w:val="22"/>
          <w:lang w:val="es-AR" w:eastAsia="es-AR"/>
        </w:rPr>
        <w:t>aún</w:t>
      </w:r>
      <w:r w:rsidRPr="00A75495">
        <w:rPr>
          <w:rFonts w:asciiTheme="minorHAnsi" w:hAnsiTheme="minorHAnsi"/>
          <w:sz w:val="22"/>
          <w:szCs w:val="22"/>
          <w:lang w:val="es-AR" w:eastAsia="es-AR"/>
        </w:rPr>
        <w:t xml:space="preserve"> vigentes</w:t>
      </w:r>
      <w:r w:rsidR="00633140" w:rsidRPr="00A75495">
        <w:rPr>
          <w:rFonts w:asciiTheme="minorHAnsi" w:hAnsiTheme="minorHAnsi"/>
          <w:sz w:val="22"/>
          <w:szCs w:val="22"/>
          <w:lang w:val="es-AR" w:eastAsia="es-AR"/>
        </w:rPr>
        <w:t>—</w:t>
      </w:r>
      <w:r w:rsidRPr="00A75495">
        <w:rPr>
          <w:rFonts w:asciiTheme="minorHAnsi" w:hAnsiTheme="minorHAnsi"/>
          <w:sz w:val="22"/>
          <w:szCs w:val="22"/>
          <w:lang w:val="es-AR" w:eastAsia="es-AR"/>
        </w:rPr>
        <w:t xml:space="preserve"> a nivel global.</w:t>
      </w:r>
    </w:p>
    <w:p w:rsidR="00A75495" w:rsidRPr="00A75495" w:rsidRDefault="00A75495" w:rsidP="00585778">
      <w:pPr>
        <w:widowControl w:val="0"/>
        <w:spacing w:line="300" w:lineRule="auto"/>
        <w:ind w:firstLine="720"/>
        <w:contextualSpacing/>
        <w:jc w:val="both"/>
        <w:rPr>
          <w:rFonts w:asciiTheme="minorHAnsi" w:hAnsiTheme="minorHAnsi"/>
          <w:sz w:val="22"/>
          <w:szCs w:val="22"/>
          <w:lang w:val="es-AR" w:eastAsia="es-AR"/>
        </w:rPr>
      </w:pPr>
      <w:r w:rsidRPr="00A75495">
        <w:rPr>
          <w:rFonts w:asciiTheme="minorHAnsi" w:hAnsiTheme="minorHAnsi"/>
          <w:sz w:val="22"/>
          <w:szCs w:val="22"/>
          <w:lang w:val="es-AR" w:eastAsia="es-AR"/>
        </w:rPr>
        <w:t>Actualmente se admite que existen cinco tipos de VCM/N: física</w:t>
      </w:r>
      <w:r w:rsidR="0019328C">
        <w:rPr>
          <w:rFonts w:asciiTheme="minorHAnsi" w:hAnsiTheme="minorHAnsi"/>
          <w:sz w:val="22"/>
          <w:szCs w:val="22"/>
          <w:lang w:val="es-AR" w:eastAsia="es-AR"/>
        </w:rPr>
        <w:t>,</w:t>
      </w:r>
      <w:r w:rsidRPr="00A75495">
        <w:rPr>
          <w:rFonts w:asciiTheme="minorHAnsi" w:hAnsiTheme="minorHAnsi"/>
          <w:sz w:val="22"/>
          <w:szCs w:val="22"/>
          <w:lang w:val="es-AR" w:eastAsia="es-AR"/>
        </w:rPr>
        <w:t xml:space="preserve"> psicológica</w:t>
      </w:r>
      <w:r w:rsidR="0019328C">
        <w:rPr>
          <w:rFonts w:asciiTheme="minorHAnsi" w:hAnsiTheme="minorHAnsi"/>
          <w:sz w:val="22"/>
          <w:szCs w:val="22"/>
          <w:lang w:val="es-AR" w:eastAsia="es-AR"/>
        </w:rPr>
        <w:t>,</w:t>
      </w:r>
      <w:r w:rsidRPr="00A75495">
        <w:rPr>
          <w:rFonts w:asciiTheme="minorHAnsi" w:hAnsiTheme="minorHAnsi"/>
          <w:sz w:val="22"/>
          <w:szCs w:val="22"/>
          <w:lang w:val="es-AR" w:eastAsia="es-AR"/>
        </w:rPr>
        <w:t xml:space="preserve"> sexual</w:t>
      </w:r>
      <w:r w:rsidR="0019328C">
        <w:rPr>
          <w:rFonts w:asciiTheme="minorHAnsi" w:hAnsiTheme="minorHAnsi"/>
          <w:sz w:val="22"/>
          <w:szCs w:val="22"/>
          <w:lang w:val="es-AR" w:eastAsia="es-AR"/>
        </w:rPr>
        <w:t>,</w:t>
      </w:r>
      <w:r w:rsidRPr="00A75495">
        <w:rPr>
          <w:rFonts w:asciiTheme="minorHAnsi" w:hAnsiTheme="minorHAnsi"/>
          <w:sz w:val="22"/>
          <w:szCs w:val="22"/>
          <w:lang w:val="es-AR" w:eastAsia="es-AR"/>
        </w:rPr>
        <w:t xml:space="preserve"> económica y patrimonial</w:t>
      </w:r>
      <w:r w:rsidR="0019328C">
        <w:rPr>
          <w:rFonts w:asciiTheme="minorHAnsi" w:hAnsiTheme="minorHAnsi"/>
          <w:sz w:val="22"/>
          <w:szCs w:val="22"/>
          <w:lang w:val="es-AR" w:eastAsia="es-AR"/>
        </w:rPr>
        <w:t>,</w:t>
      </w:r>
      <w:r w:rsidRPr="00A75495">
        <w:rPr>
          <w:rFonts w:asciiTheme="minorHAnsi" w:hAnsiTheme="minorHAnsi"/>
          <w:sz w:val="22"/>
          <w:szCs w:val="22"/>
          <w:lang w:val="es-AR" w:eastAsia="es-AR"/>
        </w:rPr>
        <w:t xml:space="preserve"> y simbólica. Esta última —siendo la más sutil— es la más generalizada pues se reproduce mediante patrones estereotipados, mensajes, valores, </w:t>
      </w:r>
      <w:r w:rsidR="0019328C" w:rsidRPr="00A75495">
        <w:rPr>
          <w:rFonts w:asciiTheme="minorHAnsi" w:hAnsiTheme="minorHAnsi"/>
          <w:sz w:val="22"/>
          <w:szCs w:val="22"/>
          <w:lang w:val="es-AR" w:eastAsia="es-AR"/>
        </w:rPr>
        <w:t>i</w:t>
      </w:r>
      <w:r w:rsidR="0019328C">
        <w:rPr>
          <w:rFonts w:asciiTheme="minorHAnsi" w:hAnsiTheme="minorHAnsi"/>
          <w:sz w:val="22"/>
          <w:szCs w:val="22"/>
          <w:lang w:val="es-AR" w:eastAsia="es-AR"/>
        </w:rPr>
        <w:t>mágenes</w:t>
      </w:r>
      <w:r w:rsidRPr="00A75495">
        <w:rPr>
          <w:rFonts w:asciiTheme="minorHAnsi" w:hAnsiTheme="minorHAnsi"/>
          <w:sz w:val="22"/>
          <w:szCs w:val="22"/>
          <w:lang w:val="es-AR" w:eastAsia="es-AR"/>
        </w:rPr>
        <w:t xml:space="preserve"> o signos que configuran distintos aspectos de la dominación, la desigualdad y la discriminación en las relaciones sociales, naturalizando la subordinación de la mujer en la sociedad. A pesar </w:t>
      </w:r>
      <w:r w:rsidR="0019328C" w:rsidRPr="00A75495">
        <w:rPr>
          <w:rFonts w:asciiTheme="minorHAnsi" w:hAnsiTheme="minorHAnsi"/>
          <w:sz w:val="22"/>
          <w:szCs w:val="22"/>
          <w:lang w:val="es-AR" w:eastAsia="es-AR"/>
        </w:rPr>
        <w:t>de los avances legales e institucionales</w:t>
      </w:r>
      <w:r w:rsidRPr="00A75495">
        <w:rPr>
          <w:rFonts w:asciiTheme="minorHAnsi" w:hAnsiTheme="minorHAnsi"/>
          <w:sz w:val="22"/>
          <w:szCs w:val="22"/>
          <w:lang w:val="es-AR" w:eastAsia="es-AR"/>
        </w:rPr>
        <w:t xml:space="preserve"> en la materia, la VCM/N continúa siendo una temática que demanda la presencia estatal mediante masivas manifestaciones públicas.</w:t>
      </w:r>
    </w:p>
    <w:p w:rsidR="00A75495" w:rsidRPr="000E08B3" w:rsidRDefault="00A75495" w:rsidP="00585778">
      <w:pPr>
        <w:widowControl w:val="0"/>
        <w:spacing w:line="300" w:lineRule="auto"/>
        <w:ind w:firstLine="720"/>
        <w:contextualSpacing/>
        <w:jc w:val="both"/>
        <w:rPr>
          <w:rFonts w:asciiTheme="minorHAnsi" w:hAnsiTheme="minorHAnsi"/>
          <w:sz w:val="22"/>
          <w:szCs w:val="22"/>
          <w:lang w:val="es-AR" w:eastAsia="es-AR"/>
        </w:rPr>
      </w:pPr>
      <w:r w:rsidRPr="0092785B">
        <w:rPr>
          <w:rFonts w:asciiTheme="minorHAnsi" w:hAnsiTheme="minorHAnsi"/>
          <w:sz w:val="22"/>
          <w:szCs w:val="22"/>
          <w:lang w:val="es-AR" w:eastAsia="es-AR"/>
        </w:rPr>
        <w:t>Con todo este trabajo</w:t>
      </w:r>
      <w:r w:rsidR="0092785B">
        <w:rPr>
          <w:rStyle w:val="Refdenotaalpie"/>
          <w:rFonts w:asciiTheme="minorHAnsi" w:hAnsiTheme="minorHAnsi"/>
          <w:sz w:val="22"/>
          <w:szCs w:val="22"/>
          <w:lang w:val="es-AR" w:eastAsia="es-AR"/>
        </w:rPr>
        <w:footnoteReference w:id="2"/>
      </w:r>
      <w:r w:rsidRPr="0092785B">
        <w:rPr>
          <w:rFonts w:asciiTheme="minorHAnsi" w:hAnsiTheme="minorHAnsi"/>
          <w:sz w:val="22"/>
          <w:szCs w:val="22"/>
          <w:lang w:val="es-AR" w:eastAsia="es-AR"/>
        </w:rPr>
        <w:t xml:space="preserve"> se propone realizar una somera descripción de ciertos aspectos vinculados a la autonomía física de la población femenina que compone el Mercosur. Dicho de otro modo mediante el análisis y la descripción de los indicadores: femicidios, muerte de mujeres ocasionada por su pareja o ex-pareja íntima, maternidad adolescente, mortalidad materna y demanda insatisfecha de planificación familiar propuestos por el Observatorio de Igualdad de Género de América Latina y el Caribe de la Comisión Económica para América Latina y el Caribe </w:t>
      </w:r>
      <w:r w:rsidRPr="000E08B3">
        <w:rPr>
          <w:rFonts w:asciiTheme="minorHAnsi" w:hAnsiTheme="minorHAnsi"/>
          <w:sz w:val="22"/>
          <w:szCs w:val="22"/>
          <w:lang w:val="es-AR" w:eastAsia="es-AR"/>
        </w:rPr>
        <w:t>(CEPAL) se abordarán dos de las dimensiones que dan cuenta de la problemática aludida: el respeto a los derechos reproductivos de las mujeres y la violencia de género.</w:t>
      </w:r>
    </w:p>
    <w:p w:rsidR="00585778" w:rsidRPr="000E08B3" w:rsidRDefault="00585778" w:rsidP="00585778">
      <w:pPr>
        <w:widowControl w:val="0"/>
        <w:spacing w:line="300" w:lineRule="auto"/>
        <w:ind w:firstLine="720"/>
        <w:contextualSpacing/>
        <w:jc w:val="both"/>
        <w:rPr>
          <w:rFonts w:asciiTheme="minorHAnsi" w:hAnsiTheme="minorHAnsi"/>
          <w:sz w:val="22"/>
          <w:szCs w:val="22"/>
          <w:lang w:val="es-AR" w:eastAsia="es-AR"/>
        </w:rPr>
      </w:pPr>
    </w:p>
    <w:p w:rsidR="0092785B" w:rsidRPr="009845E2" w:rsidRDefault="0092785B" w:rsidP="009845E2">
      <w:pPr>
        <w:pStyle w:val="31Subttulo1"/>
        <w:spacing w:before="0" w:after="0" w:line="360" w:lineRule="auto"/>
        <w:ind w:left="357" w:hanging="357"/>
        <w:rPr>
          <w:sz w:val="22"/>
          <w:szCs w:val="22"/>
        </w:rPr>
      </w:pPr>
      <w:r w:rsidRPr="009845E2">
        <w:rPr>
          <w:sz w:val="22"/>
          <w:szCs w:val="22"/>
        </w:rPr>
        <w:t xml:space="preserve">Breve reseña </w:t>
      </w:r>
      <w:r w:rsidR="006F26B3" w:rsidRPr="009845E2">
        <w:rPr>
          <w:sz w:val="22"/>
          <w:szCs w:val="22"/>
        </w:rPr>
        <w:t>poblacional</w:t>
      </w:r>
    </w:p>
    <w:p w:rsidR="0092785B" w:rsidRPr="0057343F" w:rsidRDefault="0092785B" w:rsidP="0057343F">
      <w:pPr>
        <w:widowControl w:val="0"/>
        <w:spacing w:line="300" w:lineRule="auto"/>
        <w:contextualSpacing/>
        <w:jc w:val="both"/>
        <w:rPr>
          <w:sz w:val="22"/>
          <w:szCs w:val="22"/>
        </w:rPr>
      </w:pPr>
      <w:r w:rsidRPr="0057343F">
        <w:rPr>
          <w:rFonts w:asciiTheme="minorHAnsi" w:hAnsiTheme="minorHAnsi"/>
          <w:sz w:val="22"/>
          <w:szCs w:val="22"/>
          <w:lang w:val="es-AR" w:eastAsia="es-AR"/>
        </w:rPr>
        <w:t xml:space="preserve">Es sabido que el Mercado Común del Sur (Mercosur) es un proceso de integración regional inicialmente formado por Argentina, Brasil, Paraguay y Uruguay al que se sumaron Venezuela y Bolivia que se encuentra en proceso de adhesión. Dicha integración iniciada hacia 1991 se propuso forjar vías para el intercambio comercial a través de la interrelación de las economías nacionales al contexto internacional estableciendo acuerdos con países o grupos de países como sucede con Colombia, Perú, Chile, Ecuador, Guyana y </w:t>
      </w:r>
      <w:proofErr w:type="spellStart"/>
      <w:r w:rsidRPr="0057343F">
        <w:rPr>
          <w:rFonts w:asciiTheme="minorHAnsi" w:hAnsiTheme="minorHAnsi"/>
          <w:sz w:val="22"/>
          <w:szCs w:val="22"/>
          <w:lang w:val="es-AR" w:eastAsia="es-AR"/>
        </w:rPr>
        <w:t>Suriname</w:t>
      </w:r>
      <w:proofErr w:type="spellEnd"/>
      <w:r w:rsidRPr="0057343F">
        <w:rPr>
          <w:rFonts w:asciiTheme="minorHAnsi" w:hAnsiTheme="minorHAnsi"/>
          <w:sz w:val="22"/>
          <w:szCs w:val="22"/>
          <w:lang w:val="es-AR" w:eastAsia="es-AR"/>
        </w:rPr>
        <w:t xml:space="preserve"> vinculados a dicho proceso en calidad de Estados Asociados.</w:t>
      </w:r>
      <w:r w:rsidRPr="000E08B3">
        <w:rPr>
          <w:vertAlign w:val="superscript"/>
        </w:rPr>
        <w:footnoteReference w:id="3"/>
      </w:r>
      <w:r w:rsidRPr="0057343F">
        <w:rPr>
          <w:sz w:val="22"/>
          <w:szCs w:val="22"/>
          <w:vertAlign w:val="superscript"/>
        </w:rPr>
        <w:t xml:space="preserve"> </w:t>
      </w:r>
    </w:p>
    <w:p w:rsidR="00585778" w:rsidRPr="0092785B" w:rsidRDefault="00585778" w:rsidP="00585778">
      <w:pPr>
        <w:widowControl w:val="0"/>
        <w:spacing w:line="300" w:lineRule="auto"/>
        <w:ind w:firstLine="720"/>
        <w:contextualSpacing/>
        <w:jc w:val="both"/>
        <w:rPr>
          <w:rFonts w:ascii="Cambria" w:eastAsia="MS Mincho" w:hAnsi="Cambria"/>
          <w:color w:val="000000"/>
          <w:sz w:val="22"/>
          <w:szCs w:val="24"/>
          <w:lang w:val="es-ES"/>
        </w:rPr>
      </w:pPr>
      <w:r w:rsidRPr="000E08B3">
        <w:rPr>
          <w:rFonts w:ascii="Cambria" w:eastAsia="MS Mincho" w:hAnsi="Cambria"/>
          <w:color w:val="000000"/>
          <w:sz w:val="22"/>
          <w:szCs w:val="22"/>
          <w:lang w:val="es-ES"/>
        </w:rPr>
        <w:t>Entre los principios del Mercosur desta</w:t>
      </w:r>
      <w:r w:rsidR="00814F24">
        <w:rPr>
          <w:rFonts w:ascii="Cambria" w:eastAsia="MS Mincho" w:hAnsi="Cambria"/>
          <w:color w:val="000000"/>
          <w:sz w:val="22"/>
          <w:szCs w:val="22"/>
          <w:lang w:val="es-ES"/>
        </w:rPr>
        <w:t xml:space="preserve">ca </w:t>
      </w:r>
      <w:r w:rsidR="00970667">
        <w:rPr>
          <w:rFonts w:ascii="Cambria" w:eastAsia="MS Mincho" w:hAnsi="Cambria"/>
          <w:color w:val="000000"/>
          <w:sz w:val="22"/>
          <w:szCs w:val="22"/>
          <w:lang w:val="es-ES"/>
        </w:rPr>
        <w:t>aquel</w:t>
      </w:r>
      <w:r w:rsidRPr="000E08B3">
        <w:rPr>
          <w:rFonts w:ascii="Cambria" w:eastAsia="MS Mincho" w:hAnsi="Cambria"/>
          <w:color w:val="000000"/>
          <w:sz w:val="22"/>
          <w:szCs w:val="22"/>
          <w:lang w:val="es-ES"/>
        </w:rPr>
        <w:t xml:space="preserve"> que manifiesta que</w:t>
      </w:r>
      <w:r w:rsidR="00970667">
        <w:rPr>
          <w:rFonts w:ascii="Cambria" w:eastAsia="MS Mincho" w:hAnsi="Cambria"/>
          <w:color w:val="000000"/>
          <w:sz w:val="22"/>
          <w:szCs w:val="22"/>
          <w:lang w:val="es-ES"/>
        </w:rPr>
        <w:t>,</w:t>
      </w:r>
      <w:r w:rsidRPr="000E08B3">
        <w:rPr>
          <w:rFonts w:ascii="Cambria" w:eastAsia="MS Mincho" w:hAnsi="Cambria"/>
          <w:color w:val="000000"/>
          <w:sz w:val="22"/>
          <w:szCs w:val="22"/>
          <w:lang w:val="es-ES"/>
        </w:rPr>
        <w:t xml:space="preserve"> la integración</w:t>
      </w:r>
      <w:r w:rsidRPr="0092785B">
        <w:rPr>
          <w:rFonts w:ascii="Cambria" w:eastAsia="MS Mincho" w:hAnsi="Cambria"/>
          <w:color w:val="000000"/>
          <w:sz w:val="22"/>
          <w:szCs w:val="24"/>
          <w:lang w:val="es-ES"/>
        </w:rPr>
        <w:t xml:space="preserve"> económica buscada no debería eludir el "rostro humano" que motivó acuerdos en materia migratoria, laboral, cultural y social</w:t>
      </w:r>
      <w:r>
        <w:rPr>
          <w:rFonts w:ascii="Cambria" w:eastAsia="MS Mincho" w:hAnsi="Cambria"/>
          <w:color w:val="000000"/>
          <w:sz w:val="22"/>
          <w:szCs w:val="24"/>
          <w:lang w:val="es-ES"/>
        </w:rPr>
        <w:t>.</w:t>
      </w:r>
      <w:r>
        <w:rPr>
          <w:rStyle w:val="Refdenotaalpie"/>
          <w:rFonts w:ascii="Cambria" w:eastAsia="MS Mincho" w:hAnsi="Cambria"/>
          <w:color w:val="000000"/>
          <w:sz w:val="22"/>
          <w:szCs w:val="24"/>
          <w:lang w:val="es-ES"/>
        </w:rPr>
        <w:footnoteReference w:id="4"/>
      </w:r>
      <w:r w:rsidRPr="0092785B">
        <w:rPr>
          <w:rFonts w:ascii="Cambria" w:eastAsia="MS Mincho" w:hAnsi="Cambria"/>
          <w:color w:val="000000"/>
          <w:sz w:val="22"/>
          <w:szCs w:val="24"/>
          <w:lang w:val="es-ES"/>
        </w:rPr>
        <w:t xml:space="preserve"> </w:t>
      </w:r>
      <w:r>
        <w:rPr>
          <w:rFonts w:ascii="Cambria" w:eastAsia="MS Mincho" w:hAnsi="Cambria"/>
          <w:color w:val="000000"/>
          <w:sz w:val="22"/>
          <w:szCs w:val="24"/>
          <w:lang w:val="es-ES"/>
        </w:rPr>
        <w:t>En tal sentido</w:t>
      </w:r>
      <w:r w:rsidRPr="0092785B">
        <w:rPr>
          <w:rFonts w:ascii="Cambria" w:eastAsia="MS Mincho" w:hAnsi="Cambria"/>
          <w:color w:val="000000"/>
          <w:sz w:val="22"/>
          <w:szCs w:val="24"/>
          <w:lang w:val="es-ES"/>
        </w:rPr>
        <w:t xml:space="preserve"> para la generación de información y la formulación e implementación de políticas públicas hay que tener en mente que</w:t>
      </w:r>
      <w:r>
        <w:rPr>
          <w:rFonts w:ascii="Cambria" w:eastAsia="MS Mincho" w:hAnsi="Cambria"/>
          <w:color w:val="000000"/>
          <w:sz w:val="22"/>
          <w:szCs w:val="24"/>
          <w:lang w:val="es-ES"/>
        </w:rPr>
        <w:t>,</w:t>
      </w:r>
      <w:r w:rsidRPr="0092785B">
        <w:rPr>
          <w:rFonts w:ascii="Cambria" w:eastAsia="MS Mincho" w:hAnsi="Cambria"/>
          <w:color w:val="000000"/>
          <w:sz w:val="22"/>
          <w:szCs w:val="24"/>
          <w:lang w:val="es-ES"/>
        </w:rPr>
        <w:t xml:space="preserve"> la población femenina no conforma un conjunto uniforme </w:t>
      </w:r>
      <w:r>
        <w:rPr>
          <w:rFonts w:ascii="Cambria" w:eastAsia="MS Mincho" w:hAnsi="Cambria"/>
          <w:color w:val="000000"/>
          <w:sz w:val="22"/>
          <w:szCs w:val="24"/>
          <w:lang w:val="es-ES"/>
        </w:rPr>
        <w:t xml:space="preserve">pues existen diferencias </w:t>
      </w:r>
      <w:r w:rsidRPr="0092785B">
        <w:rPr>
          <w:rFonts w:ascii="Cambria" w:eastAsia="MS Mincho" w:hAnsi="Cambria"/>
          <w:color w:val="000000"/>
          <w:sz w:val="22"/>
          <w:szCs w:val="24"/>
          <w:lang w:val="es-ES"/>
        </w:rPr>
        <w:t xml:space="preserve">que potencian la situación de vulnerabilidad de mujeres y niñas. </w:t>
      </w:r>
      <w:r>
        <w:rPr>
          <w:rFonts w:ascii="Cambria" w:eastAsia="MS Mincho" w:hAnsi="Cambria"/>
          <w:color w:val="000000"/>
          <w:sz w:val="22"/>
          <w:szCs w:val="24"/>
          <w:lang w:val="es-ES"/>
        </w:rPr>
        <w:lastRenderedPageBreak/>
        <w:t>El cuadro 1 presenta la composición de la población femenina según grupos de edad quinquenales de los Estados miembros del Mercosur.</w:t>
      </w:r>
    </w:p>
    <w:p w:rsidR="0092785B" w:rsidRPr="0092785B" w:rsidRDefault="0092785B" w:rsidP="0092785B">
      <w:pPr>
        <w:jc w:val="both"/>
        <w:rPr>
          <w:rFonts w:ascii="Cambria" w:eastAsia="MS Mincho" w:hAnsi="Cambria"/>
          <w:color w:val="000000"/>
          <w:sz w:val="22"/>
          <w:szCs w:val="24"/>
          <w:lang w:val="es-ES"/>
        </w:rPr>
      </w:pPr>
      <w:r w:rsidRPr="0092785B">
        <w:rPr>
          <w:rFonts w:ascii="Cambria" w:eastAsia="MS Mincho" w:hAnsi="Cambria"/>
          <w:color w:val="000000"/>
          <w:sz w:val="22"/>
          <w:szCs w:val="24"/>
          <w:lang w:val="es-ES"/>
        </w:rPr>
        <w:t>Cuadro 1. Población femenina según grupo quinquenal de edad, total de la población y superficie (km2). Estados miembros del Mercosur, 2012</w:t>
      </w:r>
    </w:p>
    <w:p w:rsidR="0092785B" w:rsidRDefault="00BD7B1C" w:rsidP="0092785B">
      <w:pPr>
        <w:spacing w:line="360" w:lineRule="auto"/>
        <w:jc w:val="both"/>
      </w:pPr>
      <w:r w:rsidRPr="00F215A8">
        <w:rPr>
          <w:noProof/>
        </w:rPr>
        <w:drawing>
          <wp:inline distT="0" distB="0" distL="0" distR="0">
            <wp:extent cx="5931535" cy="38163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1535" cy="3816350"/>
                    </a:xfrm>
                    <a:prstGeom prst="rect">
                      <a:avLst/>
                    </a:prstGeom>
                    <a:noFill/>
                    <a:ln>
                      <a:noFill/>
                    </a:ln>
                  </pic:spPr>
                </pic:pic>
              </a:graphicData>
            </a:graphic>
          </wp:inline>
        </w:drawing>
      </w:r>
    </w:p>
    <w:p w:rsidR="0092785B" w:rsidRPr="0092785B" w:rsidRDefault="0092785B" w:rsidP="0092785B">
      <w:pPr>
        <w:autoSpaceDE w:val="0"/>
        <w:autoSpaceDN w:val="0"/>
        <w:adjustRightInd w:val="0"/>
        <w:jc w:val="both"/>
        <w:rPr>
          <w:rFonts w:asciiTheme="minorHAnsi" w:hAnsiTheme="minorHAnsi"/>
          <w:sz w:val="16"/>
          <w:szCs w:val="16"/>
          <w:lang w:val="es-AR" w:eastAsia="es-AR"/>
        </w:rPr>
      </w:pPr>
      <w:r w:rsidRPr="0092785B">
        <w:rPr>
          <w:rFonts w:asciiTheme="minorHAnsi" w:hAnsiTheme="minorHAnsi"/>
          <w:sz w:val="16"/>
          <w:szCs w:val="16"/>
          <w:lang w:val="es-AR" w:eastAsia="es-AR"/>
        </w:rPr>
        <w:t>Fuentes: INDEC. Estimaciones y proyecciones elaboradas en base al Censo Nacional de Población, Hogares y Viviendas 2010; IBGE/</w:t>
      </w:r>
      <w:proofErr w:type="spellStart"/>
      <w:r w:rsidRPr="0092785B">
        <w:rPr>
          <w:rFonts w:asciiTheme="minorHAnsi" w:hAnsiTheme="minorHAnsi"/>
          <w:sz w:val="16"/>
          <w:szCs w:val="16"/>
          <w:lang w:val="es-AR" w:eastAsia="es-AR"/>
        </w:rPr>
        <w:t>Diretoria</w:t>
      </w:r>
      <w:proofErr w:type="spellEnd"/>
      <w:r w:rsidRPr="0092785B">
        <w:rPr>
          <w:rFonts w:asciiTheme="minorHAnsi" w:hAnsiTheme="minorHAnsi"/>
          <w:sz w:val="16"/>
          <w:szCs w:val="16"/>
          <w:lang w:val="es-AR" w:eastAsia="es-AR"/>
        </w:rPr>
        <w:t xml:space="preserve"> de Pesquisas. </w:t>
      </w:r>
      <w:proofErr w:type="spellStart"/>
      <w:r w:rsidRPr="0092785B">
        <w:rPr>
          <w:rFonts w:asciiTheme="minorHAnsi" w:hAnsiTheme="minorHAnsi"/>
          <w:sz w:val="16"/>
          <w:szCs w:val="16"/>
          <w:lang w:val="es-AR" w:eastAsia="es-AR"/>
        </w:rPr>
        <w:t>Coordenação</w:t>
      </w:r>
      <w:proofErr w:type="spellEnd"/>
      <w:r w:rsidRPr="0092785B">
        <w:rPr>
          <w:rFonts w:asciiTheme="minorHAnsi" w:hAnsiTheme="minorHAnsi"/>
          <w:sz w:val="16"/>
          <w:szCs w:val="16"/>
          <w:lang w:val="es-AR" w:eastAsia="es-AR"/>
        </w:rPr>
        <w:t xml:space="preserve"> de </w:t>
      </w:r>
      <w:proofErr w:type="spellStart"/>
      <w:r w:rsidRPr="0092785B">
        <w:rPr>
          <w:rFonts w:asciiTheme="minorHAnsi" w:hAnsiTheme="minorHAnsi"/>
          <w:sz w:val="16"/>
          <w:szCs w:val="16"/>
          <w:lang w:val="es-AR" w:eastAsia="es-AR"/>
        </w:rPr>
        <w:t>População</w:t>
      </w:r>
      <w:proofErr w:type="spellEnd"/>
      <w:r w:rsidRPr="0092785B">
        <w:rPr>
          <w:rFonts w:asciiTheme="minorHAnsi" w:hAnsiTheme="minorHAnsi"/>
          <w:sz w:val="16"/>
          <w:szCs w:val="16"/>
          <w:lang w:val="es-AR" w:eastAsia="es-AR"/>
        </w:rPr>
        <w:t xml:space="preserve"> e Indicadores </w:t>
      </w:r>
      <w:proofErr w:type="spellStart"/>
      <w:r w:rsidRPr="0092785B">
        <w:rPr>
          <w:rFonts w:asciiTheme="minorHAnsi" w:hAnsiTheme="minorHAnsi"/>
          <w:sz w:val="16"/>
          <w:szCs w:val="16"/>
          <w:lang w:val="es-AR" w:eastAsia="es-AR"/>
        </w:rPr>
        <w:t>Sociais</w:t>
      </w:r>
      <w:proofErr w:type="spellEnd"/>
      <w:r w:rsidRPr="0092785B">
        <w:rPr>
          <w:rFonts w:asciiTheme="minorHAnsi" w:hAnsiTheme="minorHAnsi"/>
          <w:sz w:val="16"/>
          <w:szCs w:val="16"/>
          <w:lang w:val="es-AR" w:eastAsia="es-AR"/>
        </w:rPr>
        <w:t xml:space="preserve">. </w:t>
      </w:r>
      <w:proofErr w:type="spellStart"/>
      <w:r w:rsidRPr="0092785B">
        <w:rPr>
          <w:rFonts w:asciiTheme="minorHAnsi" w:hAnsiTheme="minorHAnsi"/>
          <w:sz w:val="16"/>
          <w:szCs w:val="16"/>
          <w:lang w:val="es-AR" w:eastAsia="es-AR"/>
        </w:rPr>
        <w:t>Gerência</w:t>
      </w:r>
      <w:proofErr w:type="spellEnd"/>
      <w:r w:rsidRPr="0092785B">
        <w:rPr>
          <w:rFonts w:asciiTheme="minorHAnsi" w:hAnsiTheme="minorHAnsi"/>
          <w:sz w:val="16"/>
          <w:szCs w:val="16"/>
          <w:lang w:val="es-AR" w:eastAsia="es-AR"/>
        </w:rPr>
        <w:t xml:space="preserve"> de </w:t>
      </w:r>
      <w:proofErr w:type="spellStart"/>
      <w:r w:rsidRPr="0092785B">
        <w:rPr>
          <w:rFonts w:asciiTheme="minorHAnsi" w:hAnsiTheme="minorHAnsi"/>
          <w:sz w:val="16"/>
          <w:szCs w:val="16"/>
          <w:lang w:val="es-AR" w:eastAsia="es-AR"/>
        </w:rPr>
        <w:t>Estudos</w:t>
      </w:r>
      <w:proofErr w:type="spellEnd"/>
      <w:r w:rsidRPr="0092785B">
        <w:rPr>
          <w:rFonts w:asciiTheme="minorHAnsi" w:hAnsiTheme="minorHAnsi"/>
          <w:sz w:val="16"/>
          <w:szCs w:val="16"/>
          <w:lang w:val="es-AR" w:eastAsia="es-AR"/>
        </w:rPr>
        <w:t xml:space="preserve"> e </w:t>
      </w:r>
      <w:proofErr w:type="spellStart"/>
      <w:r w:rsidRPr="0092785B">
        <w:rPr>
          <w:rFonts w:asciiTheme="minorHAnsi" w:hAnsiTheme="minorHAnsi"/>
          <w:sz w:val="16"/>
          <w:szCs w:val="16"/>
          <w:lang w:val="es-AR" w:eastAsia="es-AR"/>
        </w:rPr>
        <w:t>Análises</w:t>
      </w:r>
      <w:proofErr w:type="spellEnd"/>
      <w:r w:rsidRPr="0092785B">
        <w:rPr>
          <w:rFonts w:asciiTheme="minorHAnsi" w:hAnsiTheme="minorHAnsi"/>
          <w:sz w:val="16"/>
          <w:szCs w:val="16"/>
          <w:lang w:val="es-AR" w:eastAsia="es-AR"/>
        </w:rPr>
        <w:t xml:space="preserve"> da </w:t>
      </w:r>
      <w:proofErr w:type="spellStart"/>
      <w:r w:rsidRPr="0092785B">
        <w:rPr>
          <w:rFonts w:asciiTheme="minorHAnsi" w:hAnsiTheme="minorHAnsi"/>
          <w:sz w:val="16"/>
          <w:szCs w:val="16"/>
          <w:lang w:val="es-AR" w:eastAsia="es-AR"/>
        </w:rPr>
        <w:t>Dinâmica</w:t>
      </w:r>
      <w:proofErr w:type="spellEnd"/>
      <w:r w:rsidRPr="0092785B">
        <w:rPr>
          <w:rFonts w:asciiTheme="minorHAnsi" w:hAnsiTheme="minorHAnsi"/>
          <w:sz w:val="16"/>
          <w:szCs w:val="16"/>
          <w:lang w:val="es-AR" w:eastAsia="es-AR"/>
        </w:rPr>
        <w:t xml:space="preserve"> Demográfica. </w:t>
      </w:r>
      <w:proofErr w:type="spellStart"/>
      <w:r w:rsidRPr="0092785B">
        <w:rPr>
          <w:rFonts w:asciiTheme="minorHAnsi" w:hAnsiTheme="minorHAnsi"/>
          <w:sz w:val="16"/>
          <w:szCs w:val="16"/>
          <w:lang w:val="es-AR" w:eastAsia="es-AR"/>
        </w:rPr>
        <w:t>Projeção</w:t>
      </w:r>
      <w:proofErr w:type="spellEnd"/>
      <w:r w:rsidRPr="0092785B">
        <w:rPr>
          <w:rFonts w:asciiTheme="minorHAnsi" w:hAnsiTheme="minorHAnsi"/>
          <w:sz w:val="16"/>
          <w:szCs w:val="16"/>
          <w:lang w:val="es-AR" w:eastAsia="es-AR"/>
        </w:rPr>
        <w:t xml:space="preserve"> da </w:t>
      </w:r>
      <w:proofErr w:type="spellStart"/>
      <w:r w:rsidRPr="0092785B">
        <w:rPr>
          <w:rFonts w:asciiTheme="minorHAnsi" w:hAnsiTheme="minorHAnsi"/>
          <w:sz w:val="16"/>
          <w:szCs w:val="16"/>
          <w:lang w:val="es-AR" w:eastAsia="es-AR"/>
        </w:rPr>
        <w:t>população</w:t>
      </w:r>
      <w:proofErr w:type="spellEnd"/>
      <w:r w:rsidRPr="0092785B">
        <w:rPr>
          <w:rFonts w:asciiTheme="minorHAnsi" w:hAnsiTheme="minorHAnsi"/>
          <w:sz w:val="16"/>
          <w:szCs w:val="16"/>
          <w:lang w:val="es-AR" w:eastAsia="es-AR"/>
        </w:rPr>
        <w:t xml:space="preserve"> do Brasil por sexo e </w:t>
      </w:r>
      <w:proofErr w:type="spellStart"/>
      <w:r w:rsidRPr="0092785B">
        <w:rPr>
          <w:rFonts w:asciiTheme="minorHAnsi" w:hAnsiTheme="minorHAnsi"/>
          <w:sz w:val="16"/>
          <w:szCs w:val="16"/>
          <w:lang w:val="es-AR" w:eastAsia="es-AR"/>
        </w:rPr>
        <w:t>idade</w:t>
      </w:r>
      <w:proofErr w:type="spellEnd"/>
      <w:r w:rsidRPr="0092785B">
        <w:rPr>
          <w:rFonts w:asciiTheme="minorHAnsi" w:hAnsiTheme="minorHAnsi"/>
          <w:sz w:val="16"/>
          <w:szCs w:val="16"/>
          <w:lang w:val="es-AR" w:eastAsia="es-AR"/>
        </w:rPr>
        <w:t xml:space="preserve"> para o período 2000-2060; INE (Bolivia), Censo Nacional de Población y Vivienda, 2012; </w:t>
      </w:r>
      <w:proofErr w:type="spellStart"/>
      <w:r w:rsidRPr="0092785B">
        <w:rPr>
          <w:rFonts w:asciiTheme="minorHAnsi" w:hAnsiTheme="minorHAnsi"/>
          <w:sz w:val="16"/>
          <w:szCs w:val="16"/>
          <w:lang w:val="es-AR" w:eastAsia="es-AR"/>
        </w:rPr>
        <w:t>DGEEyC</w:t>
      </w:r>
      <w:proofErr w:type="spellEnd"/>
      <w:r w:rsidRPr="0092785B">
        <w:rPr>
          <w:rFonts w:asciiTheme="minorHAnsi" w:hAnsiTheme="minorHAnsi"/>
          <w:sz w:val="16"/>
          <w:szCs w:val="16"/>
          <w:lang w:val="es-AR" w:eastAsia="es-AR"/>
        </w:rPr>
        <w:t xml:space="preserve">, Secretaría Técnica de Planificación del Desarrollo Económico y Social Paraguay, Proyección de la Población Nacional, Áreas Urbana y Rural por Sexo y Edad, 2000-2025, Revisión 2015; INE (Venezuela), Censo 2011, Procesado con </w:t>
      </w:r>
      <w:proofErr w:type="spellStart"/>
      <w:r w:rsidRPr="0092785B">
        <w:rPr>
          <w:rFonts w:asciiTheme="minorHAnsi" w:hAnsiTheme="minorHAnsi"/>
          <w:sz w:val="16"/>
          <w:szCs w:val="16"/>
          <w:lang w:val="es-AR" w:eastAsia="es-AR"/>
        </w:rPr>
        <w:t>Redatam+SP</w:t>
      </w:r>
      <w:proofErr w:type="spellEnd"/>
      <w:r w:rsidRPr="0092785B">
        <w:rPr>
          <w:rFonts w:asciiTheme="minorHAnsi" w:hAnsiTheme="minorHAnsi"/>
          <w:sz w:val="16"/>
          <w:szCs w:val="16"/>
          <w:lang w:val="es-AR" w:eastAsia="es-AR"/>
        </w:rPr>
        <w:t>, CEPAL/CELADE 2003-2013; INE (Uruguay), Estimaciones y proyecciones de población (revisión 2013).</w:t>
      </w:r>
    </w:p>
    <w:p w:rsidR="00321352" w:rsidRDefault="00321352" w:rsidP="0092785B">
      <w:pPr>
        <w:autoSpaceDE w:val="0"/>
        <w:autoSpaceDN w:val="0"/>
        <w:adjustRightInd w:val="0"/>
        <w:spacing w:line="360" w:lineRule="auto"/>
        <w:jc w:val="both"/>
        <w:rPr>
          <w:rFonts w:asciiTheme="minorHAnsi" w:hAnsiTheme="minorHAnsi"/>
          <w:sz w:val="22"/>
          <w:szCs w:val="22"/>
          <w:lang w:val="es-AR" w:eastAsia="es-AR"/>
        </w:rPr>
      </w:pPr>
    </w:p>
    <w:p w:rsidR="00050E67" w:rsidRDefault="00050E67" w:rsidP="00585778">
      <w:pPr>
        <w:widowControl w:val="0"/>
        <w:spacing w:line="300" w:lineRule="auto"/>
        <w:ind w:firstLine="720"/>
        <w:contextualSpacing/>
        <w:jc w:val="both"/>
        <w:rPr>
          <w:rFonts w:asciiTheme="minorHAnsi" w:eastAsia="Cantarell" w:hAnsiTheme="minorHAnsi"/>
          <w:sz w:val="22"/>
          <w:szCs w:val="22"/>
          <w:lang w:val="es-ES_tradnl" w:eastAsia="es-ES_tradnl"/>
        </w:rPr>
      </w:pPr>
      <w:r w:rsidRPr="00A976A6">
        <w:rPr>
          <w:rFonts w:asciiTheme="minorHAnsi" w:hAnsiTheme="minorHAnsi"/>
          <w:sz w:val="22"/>
          <w:szCs w:val="22"/>
          <w:lang w:val="es-AR" w:eastAsia="es-AR"/>
        </w:rPr>
        <w:t xml:space="preserve">Se conoce que la exposición a situaciones de vulnerabilidad a la violencia difiere según la raza y la condición étnica y/o de migrante, refugiada o desplazada, al tiempo que un embarazo puede incrementar la vulnerabilidad a la violencia, así como la discapacidad, la edad (niñez, adolescencia, vejez), la situación socioeconómica desfavorable, los conflictos armados y la privación de la libertad. </w:t>
      </w:r>
      <w:r w:rsidRPr="00A976A6">
        <w:rPr>
          <w:rFonts w:asciiTheme="minorHAnsi" w:eastAsia="Cantarell" w:hAnsiTheme="minorHAnsi"/>
          <w:sz w:val="22"/>
          <w:szCs w:val="22"/>
          <w:lang w:val="es-ES_tradnl" w:eastAsia="es-ES_tradnl"/>
        </w:rPr>
        <w:t xml:space="preserve">Por lo </w:t>
      </w:r>
      <w:r w:rsidR="003813B1" w:rsidRPr="00A976A6">
        <w:rPr>
          <w:rFonts w:asciiTheme="minorHAnsi" w:eastAsia="Cantarell" w:hAnsiTheme="minorHAnsi"/>
          <w:sz w:val="22"/>
          <w:szCs w:val="22"/>
          <w:lang w:val="es-ES_tradnl" w:eastAsia="es-ES_tradnl"/>
        </w:rPr>
        <w:t>tanto,</w:t>
      </w:r>
      <w:r w:rsidRPr="00A976A6">
        <w:rPr>
          <w:rFonts w:asciiTheme="minorHAnsi" w:eastAsia="Cantarell" w:hAnsiTheme="minorHAnsi"/>
          <w:sz w:val="22"/>
          <w:szCs w:val="22"/>
          <w:lang w:val="es-ES_tradnl" w:eastAsia="es-ES_tradnl"/>
        </w:rPr>
        <w:t xml:space="preserve"> correspondería que las políticas destinadas a visibilizar y revertir las prácticas que determinan la VCM/N sean analizadas en el contexto del Mercosur pues en él se inscribe una población de 147.346.929 mujeres que requieren la intervención coordinada de los Estados para revertir las tendencias históricas que han favorecido la inequidad.</w:t>
      </w:r>
    </w:p>
    <w:p w:rsidR="0092785B" w:rsidRPr="00A976A6" w:rsidRDefault="00396467" w:rsidP="00585778">
      <w:pPr>
        <w:widowControl w:val="0"/>
        <w:spacing w:line="300" w:lineRule="auto"/>
        <w:ind w:firstLine="720"/>
        <w:contextualSpacing/>
        <w:jc w:val="both"/>
        <w:rPr>
          <w:rFonts w:asciiTheme="minorHAnsi" w:hAnsiTheme="minorHAnsi"/>
          <w:sz w:val="22"/>
          <w:szCs w:val="22"/>
          <w:lang w:val="es-AR" w:eastAsia="es-AR"/>
        </w:rPr>
      </w:pPr>
      <w:r>
        <w:rPr>
          <w:rFonts w:asciiTheme="minorHAnsi" w:hAnsiTheme="minorHAnsi"/>
          <w:sz w:val="22"/>
          <w:szCs w:val="22"/>
          <w:lang w:val="es-AR"/>
        </w:rPr>
        <w:t>S</w:t>
      </w:r>
      <w:r w:rsidR="0092785B" w:rsidRPr="00A976A6">
        <w:rPr>
          <w:rFonts w:asciiTheme="minorHAnsi" w:hAnsiTheme="minorHAnsi"/>
          <w:sz w:val="22"/>
          <w:szCs w:val="22"/>
          <w:lang w:val="es-AR"/>
        </w:rPr>
        <w:t xml:space="preserve">egún el </w:t>
      </w:r>
      <w:r w:rsidR="0092785B" w:rsidRPr="00A976A6">
        <w:rPr>
          <w:rFonts w:asciiTheme="minorHAnsi" w:hAnsiTheme="minorHAnsi"/>
          <w:i/>
          <w:sz w:val="22"/>
          <w:szCs w:val="22"/>
          <w:lang w:val="es-AR" w:eastAsia="es-AR"/>
        </w:rPr>
        <w:t xml:space="preserve">Observatorio de Igualdad de Género de América Latina y el Caribe (OIG) </w:t>
      </w:r>
      <w:r w:rsidRPr="00396467">
        <w:rPr>
          <w:rFonts w:asciiTheme="minorHAnsi" w:hAnsiTheme="minorHAnsi"/>
          <w:sz w:val="22"/>
          <w:szCs w:val="22"/>
          <w:lang w:val="es-AR" w:eastAsia="es-AR"/>
        </w:rPr>
        <w:t>y teniendo</w:t>
      </w:r>
      <w:r w:rsidRPr="00A976A6">
        <w:rPr>
          <w:rFonts w:asciiTheme="minorHAnsi" w:hAnsiTheme="minorHAnsi"/>
          <w:sz w:val="22"/>
          <w:szCs w:val="22"/>
          <w:lang w:val="es-AR" w:eastAsia="es-AR"/>
        </w:rPr>
        <w:t xml:space="preserve"> en cuenta el concepto de </w:t>
      </w:r>
      <w:r w:rsidRPr="00A976A6">
        <w:rPr>
          <w:rFonts w:asciiTheme="minorHAnsi" w:hAnsiTheme="minorHAnsi"/>
          <w:sz w:val="22"/>
          <w:szCs w:val="22"/>
          <w:lang w:val="es-AR"/>
        </w:rPr>
        <w:t xml:space="preserve">autonomía que </w:t>
      </w:r>
      <w:r w:rsidR="0092785B" w:rsidRPr="00A976A6">
        <w:rPr>
          <w:rFonts w:asciiTheme="minorHAnsi" w:hAnsiTheme="minorHAnsi"/>
          <w:sz w:val="22"/>
          <w:szCs w:val="22"/>
          <w:lang w:val="es-AR"/>
        </w:rPr>
        <w:t>significa contar con la capacidad y con las condiciones específicas para tomar decisiones libres</w:t>
      </w:r>
      <w:r w:rsidR="0092785B" w:rsidRPr="00A976A6">
        <w:rPr>
          <w:rFonts w:asciiTheme="minorHAnsi" w:hAnsiTheme="minorHAnsi"/>
          <w:sz w:val="22"/>
          <w:szCs w:val="22"/>
          <w:lang w:val="es-AR" w:eastAsia="es-AR"/>
        </w:rPr>
        <w:t xml:space="preserve"> se delimitan tres tipos: 1) económica: sobre la capacidad </w:t>
      </w:r>
      <w:r w:rsidR="0092785B" w:rsidRPr="00A976A6">
        <w:rPr>
          <w:rFonts w:asciiTheme="minorHAnsi" w:hAnsiTheme="minorHAnsi"/>
          <w:sz w:val="22"/>
          <w:szCs w:val="22"/>
          <w:lang w:val="es-AR"/>
        </w:rPr>
        <w:t xml:space="preserve">y las condiciones específicas que tienen </w:t>
      </w:r>
      <w:r w:rsidR="0092785B" w:rsidRPr="00A976A6">
        <w:rPr>
          <w:rFonts w:asciiTheme="minorHAnsi" w:hAnsiTheme="minorHAnsi"/>
          <w:sz w:val="22"/>
          <w:szCs w:val="22"/>
          <w:lang w:val="es-AR" w:eastAsia="es-AR"/>
        </w:rPr>
        <w:t xml:space="preserve">las mujeres para generar ingresos y recursos a partir del acceso al trabajo remunerado en igualdad de condiciones que los varones matizando los diferenciales </w:t>
      </w:r>
      <w:r w:rsidR="0092785B" w:rsidRPr="00A976A6">
        <w:rPr>
          <w:rFonts w:asciiTheme="minorHAnsi" w:hAnsiTheme="minorHAnsi"/>
          <w:sz w:val="22"/>
          <w:szCs w:val="22"/>
          <w:lang w:val="es-AR" w:eastAsia="es-AR"/>
        </w:rPr>
        <w:lastRenderedPageBreak/>
        <w:t xml:space="preserve">sobre contribución económica de las mujeres a la economía y uso del tiempo; 2) en la toma de decisiones: sobre la capacidad </w:t>
      </w:r>
      <w:r w:rsidR="0092785B" w:rsidRPr="00A976A6">
        <w:rPr>
          <w:rFonts w:asciiTheme="minorHAnsi" w:hAnsiTheme="minorHAnsi"/>
          <w:sz w:val="22"/>
          <w:szCs w:val="22"/>
          <w:lang w:val="es-AR"/>
        </w:rPr>
        <w:t xml:space="preserve">y las condiciones específicas que tienen </w:t>
      </w:r>
      <w:r w:rsidR="0092785B" w:rsidRPr="00A976A6">
        <w:rPr>
          <w:rFonts w:asciiTheme="minorHAnsi" w:hAnsiTheme="minorHAnsi"/>
          <w:sz w:val="22"/>
          <w:szCs w:val="22"/>
          <w:lang w:val="es-AR" w:eastAsia="es-AR"/>
        </w:rPr>
        <w:t xml:space="preserve">las mujeres para ocupar un espacio público en los distintos niveles de los poderes del Estado; 3) física: sobre la capacidad </w:t>
      </w:r>
      <w:r w:rsidR="0092785B" w:rsidRPr="00A976A6">
        <w:rPr>
          <w:rFonts w:asciiTheme="minorHAnsi" w:hAnsiTheme="minorHAnsi"/>
          <w:sz w:val="22"/>
          <w:szCs w:val="22"/>
          <w:lang w:val="es-AR"/>
        </w:rPr>
        <w:t xml:space="preserve">y las condiciones específicas que tienen </w:t>
      </w:r>
      <w:r w:rsidR="0092785B" w:rsidRPr="00A976A6">
        <w:rPr>
          <w:rFonts w:asciiTheme="minorHAnsi" w:hAnsiTheme="minorHAnsi"/>
          <w:sz w:val="22"/>
          <w:szCs w:val="22"/>
          <w:lang w:val="es-AR" w:eastAsia="es-AR"/>
        </w:rPr>
        <w:t>las mujeres para detentar el respeto de sus derechos reproductivos y su derecho a vivir en un ambiente libre de violencia.</w:t>
      </w:r>
    </w:p>
    <w:p w:rsidR="0092785B" w:rsidRPr="00A976A6" w:rsidRDefault="0092785B" w:rsidP="00585778">
      <w:pPr>
        <w:widowControl w:val="0"/>
        <w:spacing w:line="300" w:lineRule="auto"/>
        <w:ind w:firstLine="720"/>
        <w:contextualSpacing/>
        <w:jc w:val="both"/>
        <w:rPr>
          <w:rFonts w:asciiTheme="minorHAnsi" w:hAnsiTheme="minorHAnsi"/>
          <w:sz w:val="22"/>
          <w:szCs w:val="22"/>
          <w:lang w:val="es-AR" w:eastAsia="es-AR"/>
        </w:rPr>
      </w:pPr>
      <w:r w:rsidRPr="00A976A6">
        <w:rPr>
          <w:rFonts w:asciiTheme="minorHAnsi" w:hAnsiTheme="minorHAnsi"/>
          <w:sz w:val="22"/>
          <w:szCs w:val="22"/>
          <w:lang w:val="es-AR" w:eastAsia="es-AR"/>
        </w:rPr>
        <w:t xml:space="preserve">La autonomía como concepto político es un factor fundamental para garantizar el ejercicio de los derechos humanos ya que la libertad </w:t>
      </w:r>
      <w:r w:rsidR="0002507A">
        <w:rPr>
          <w:rFonts w:asciiTheme="minorHAnsi" w:hAnsiTheme="minorHAnsi"/>
          <w:sz w:val="22"/>
          <w:szCs w:val="22"/>
          <w:lang w:val="es-AR" w:eastAsia="es-AR"/>
        </w:rPr>
        <w:t xml:space="preserve">de </w:t>
      </w:r>
      <w:r w:rsidR="00F00496">
        <w:rPr>
          <w:rFonts w:asciiTheme="minorHAnsi" w:hAnsiTheme="minorHAnsi"/>
          <w:sz w:val="22"/>
          <w:szCs w:val="22"/>
          <w:lang w:val="es-AR" w:eastAsia="es-AR"/>
        </w:rPr>
        <w:t>las personas</w:t>
      </w:r>
      <w:r w:rsidRPr="00A976A6">
        <w:rPr>
          <w:rFonts w:asciiTheme="minorHAnsi" w:hAnsiTheme="minorHAnsi"/>
          <w:sz w:val="22"/>
          <w:szCs w:val="22"/>
          <w:lang w:val="es-AR" w:eastAsia="es-AR"/>
        </w:rPr>
        <w:t xml:space="preserve"> para ser, actuar y disponer de bienes en una sociedad constituye un </w:t>
      </w:r>
      <w:r w:rsidR="00F00496">
        <w:rPr>
          <w:rFonts w:asciiTheme="minorHAnsi" w:hAnsiTheme="minorHAnsi"/>
          <w:sz w:val="22"/>
          <w:szCs w:val="22"/>
          <w:lang w:val="es-AR" w:eastAsia="es-AR"/>
        </w:rPr>
        <w:t>hito</w:t>
      </w:r>
      <w:r w:rsidRPr="00A976A6">
        <w:rPr>
          <w:rFonts w:asciiTheme="minorHAnsi" w:hAnsiTheme="minorHAnsi"/>
          <w:sz w:val="22"/>
          <w:szCs w:val="22"/>
          <w:lang w:val="es-AR" w:eastAsia="es-AR"/>
        </w:rPr>
        <w:t xml:space="preserve"> para juzgar la calidad de la democracia</w:t>
      </w:r>
      <w:r w:rsidR="006F45B6">
        <w:rPr>
          <w:rFonts w:asciiTheme="minorHAnsi" w:hAnsiTheme="minorHAnsi"/>
          <w:sz w:val="22"/>
          <w:szCs w:val="22"/>
          <w:lang w:val="es-AR" w:eastAsia="es-AR"/>
        </w:rPr>
        <w:t xml:space="preserve"> ya </w:t>
      </w:r>
      <w:r w:rsidRPr="00A976A6">
        <w:rPr>
          <w:rFonts w:asciiTheme="minorHAnsi" w:hAnsiTheme="minorHAnsi"/>
          <w:sz w:val="22"/>
          <w:szCs w:val="22"/>
          <w:lang w:val="es-AR" w:eastAsia="es-AR"/>
        </w:rPr>
        <w:t xml:space="preserve">que la autonomía de un grupo social no depende </w:t>
      </w:r>
      <w:r w:rsidR="006F45B6" w:rsidRPr="00A976A6">
        <w:rPr>
          <w:rFonts w:asciiTheme="minorHAnsi" w:hAnsiTheme="minorHAnsi"/>
          <w:sz w:val="22"/>
          <w:szCs w:val="22"/>
          <w:lang w:val="es-AR" w:eastAsia="es-AR"/>
        </w:rPr>
        <w:t>únicamente</w:t>
      </w:r>
      <w:r w:rsidRPr="00A976A6">
        <w:rPr>
          <w:rFonts w:asciiTheme="minorHAnsi" w:hAnsiTheme="minorHAnsi"/>
          <w:sz w:val="22"/>
          <w:szCs w:val="22"/>
          <w:lang w:val="es-AR" w:eastAsia="es-AR"/>
        </w:rPr>
        <w:t xml:space="preserve"> de la voluntad personal de quienes a él pertenecen. De modo que </w:t>
      </w:r>
      <w:r w:rsidR="006F45B6">
        <w:rPr>
          <w:rFonts w:asciiTheme="minorHAnsi" w:hAnsiTheme="minorHAnsi"/>
          <w:sz w:val="22"/>
          <w:szCs w:val="22"/>
          <w:lang w:val="es-AR" w:eastAsia="es-AR"/>
        </w:rPr>
        <w:t>“</w:t>
      </w:r>
      <w:r w:rsidRPr="00A976A6">
        <w:rPr>
          <w:rFonts w:asciiTheme="minorHAnsi" w:hAnsiTheme="minorHAnsi"/>
          <w:sz w:val="22"/>
          <w:szCs w:val="22"/>
          <w:lang w:val="es-AR" w:eastAsia="es-AR"/>
        </w:rPr>
        <w:t>para que alguien pueda saber qué quiere en su vida y cómo lograrlo, que se sienta con derecho a decir no</w:t>
      </w:r>
      <w:r w:rsidR="006F45B6">
        <w:rPr>
          <w:rFonts w:asciiTheme="minorHAnsi" w:hAnsiTheme="minorHAnsi"/>
          <w:sz w:val="22"/>
          <w:szCs w:val="22"/>
          <w:lang w:val="es-AR" w:eastAsia="es-AR"/>
        </w:rPr>
        <w:t>,</w:t>
      </w:r>
      <w:r w:rsidRPr="00A976A6">
        <w:rPr>
          <w:rFonts w:asciiTheme="minorHAnsi" w:hAnsiTheme="minorHAnsi"/>
          <w:sz w:val="22"/>
          <w:szCs w:val="22"/>
          <w:lang w:val="es-AR" w:eastAsia="es-AR"/>
        </w:rPr>
        <w:t xml:space="preserve"> a incidir en su realidad para lograr sus proyectos, necesita un tipo de subjetividad</w:t>
      </w:r>
      <w:r w:rsidR="006F45B6">
        <w:rPr>
          <w:rFonts w:asciiTheme="minorHAnsi" w:hAnsiTheme="minorHAnsi"/>
          <w:sz w:val="22"/>
          <w:szCs w:val="22"/>
          <w:lang w:val="es-AR" w:eastAsia="es-AR"/>
        </w:rPr>
        <w:t>”</w:t>
      </w:r>
      <w:r w:rsidRPr="00A976A6">
        <w:rPr>
          <w:rFonts w:asciiTheme="minorHAnsi" w:hAnsiTheme="minorHAnsi"/>
          <w:sz w:val="22"/>
          <w:szCs w:val="22"/>
          <w:lang w:val="es-AR" w:eastAsia="es-AR"/>
        </w:rPr>
        <w:t xml:space="preserve"> </w:t>
      </w:r>
      <w:r w:rsidR="006F45B6" w:rsidRPr="00A976A6">
        <w:rPr>
          <w:rFonts w:asciiTheme="minorHAnsi" w:hAnsiTheme="minorHAnsi"/>
          <w:sz w:val="22"/>
          <w:szCs w:val="22"/>
          <w:lang w:val="es-AR" w:eastAsia="es-AR"/>
        </w:rPr>
        <w:t>(Benavente y Valdés, 2014</w:t>
      </w:r>
      <w:r w:rsidR="006F45B6">
        <w:rPr>
          <w:rFonts w:asciiTheme="minorHAnsi" w:hAnsiTheme="minorHAnsi"/>
          <w:sz w:val="22"/>
          <w:szCs w:val="22"/>
          <w:lang w:val="es-AR" w:eastAsia="es-AR"/>
        </w:rPr>
        <w:t>:19</w:t>
      </w:r>
      <w:r w:rsidR="006F45B6" w:rsidRPr="00A976A6">
        <w:rPr>
          <w:rFonts w:asciiTheme="minorHAnsi" w:hAnsiTheme="minorHAnsi"/>
          <w:sz w:val="22"/>
          <w:szCs w:val="22"/>
          <w:lang w:val="es-AR" w:eastAsia="es-AR"/>
        </w:rPr>
        <w:t>)</w:t>
      </w:r>
      <w:r w:rsidR="006F45B6">
        <w:rPr>
          <w:rFonts w:asciiTheme="minorHAnsi" w:hAnsiTheme="minorHAnsi"/>
          <w:sz w:val="22"/>
          <w:szCs w:val="22"/>
          <w:lang w:val="es-AR" w:eastAsia="es-AR"/>
        </w:rPr>
        <w:t xml:space="preserve"> que</w:t>
      </w:r>
      <w:r w:rsidRPr="00A976A6">
        <w:rPr>
          <w:rFonts w:asciiTheme="minorHAnsi" w:hAnsiTheme="minorHAnsi"/>
          <w:sz w:val="22"/>
          <w:szCs w:val="22"/>
          <w:lang w:val="es-AR" w:eastAsia="es-AR"/>
        </w:rPr>
        <w:t xml:space="preserve"> no depende sólo de su psiquismo </w:t>
      </w:r>
      <w:r w:rsidR="003A30E4">
        <w:rPr>
          <w:rFonts w:asciiTheme="minorHAnsi" w:hAnsiTheme="minorHAnsi"/>
          <w:sz w:val="22"/>
          <w:szCs w:val="22"/>
          <w:lang w:val="es-AR" w:eastAsia="es-AR"/>
        </w:rPr>
        <w:t>pues los cambios en la estructura social se encuentran asociados con los de la estructura de la personalidad de ahí que</w:t>
      </w:r>
      <w:r w:rsidR="00177289">
        <w:rPr>
          <w:rFonts w:asciiTheme="minorHAnsi" w:hAnsiTheme="minorHAnsi"/>
          <w:sz w:val="22"/>
          <w:szCs w:val="22"/>
          <w:lang w:val="es-AR" w:eastAsia="es-AR"/>
        </w:rPr>
        <w:t>,</w:t>
      </w:r>
      <w:r w:rsidR="003A30E4">
        <w:rPr>
          <w:rFonts w:asciiTheme="minorHAnsi" w:hAnsiTheme="minorHAnsi"/>
          <w:sz w:val="22"/>
          <w:szCs w:val="22"/>
          <w:lang w:val="es-AR" w:eastAsia="es-AR"/>
        </w:rPr>
        <w:t xml:space="preserve"> las modificaciones sean muy lentas</w:t>
      </w:r>
      <w:r w:rsidRPr="00A976A6">
        <w:rPr>
          <w:rFonts w:asciiTheme="minorHAnsi" w:hAnsiTheme="minorHAnsi"/>
          <w:sz w:val="22"/>
          <w:szCs w:val="22"/>
          <w:lang w:val="es-AR" w:eastAsia="es-AR"/>
        </w:rPr>
        <w:t>.</w:t>
      </w:r>
    </w:p>
    <w:p w:rsidR="0092785B" w:rsidRDefault="003A30E4" w:rsidP="00585778">
      <w:pPr>
        <w:widowControl w:val="0"/>
        <w:spacing w:line="300" w:lineRule="auto"/>
        <w:ind w:firstLine="720"/>
        <w:contextualSpacing/>
        <w:jc w:val="both"/>
        <w:rPr>
          <w:rFonts w:asciiTheme="minorHAnsi" w:hAnsiTheme="minorHAnsi"/>
          <w:sz w:val="22"/>
          <w:szCs w:val="22"/>
          <w:lang w:val="es-AR"/>
        </w:rPr>
      </w:pPr>
      <w:r>
        <w:rPr>
          <w:rFonts w:asciiTheme="minorHAnsi" w:hAnsiTheme="minorHAnsi"/>
          <w:sz w:val="22"/>
          <w:szCs w:val="22"/>
          <w:lang w:val="es-AR" w:eastAsia="es-AR"/>
        </w:rPr>
        <w:t>S</w:t>
      </w:r>
      <w:r w:rsidR="0092785B" w:rsidRPr="00A976A6">
        <w:rPr>
          <w:rFonts w:asciiTheme="minorHAnsi" w:hAnsiTheme="minorHAnsi"/>
          <w:sz w:val="22"/>
          <w:szCs w:val="22"/>
          <w:lang w:val="es-AR" w:eastAsia="es-AR"/>
        </w:rPr>
        <w:t xml:space="preserve">i la autonomía física </w:t>
      </w:r>
      <w:r w:rsidR="003627F0">
        <w:rPr>
          <w:rFonts w:asciiTheme="minorHAnsi" w:hAnsiTheme="minorHAnsi"/>
          <w:sz w:val="22"/>
          <w:szCs w:val="22"/>
          <w:lang w:val="es-AR" w:eastAsia="es-AR"/>
        </w:rPr>
        <w:t>de la</w:t>
      </w:r>
      <w:r w:rsidR="006F4A8C">
        <w:rPr>
          <w:rFonts w:asciiTheme="minorHAnsi" w:hAnsiTheme="minorHAnsi"/>
          <w:sz w:val="22"/>
          <w:szCs w:val="22"/>
          <w:lang w:val="es-AR" w:eastAsia="es-AR"/>
        </w:rPr>
        <w:t xml:space="preserve"> población femenina </w:t>
      </w:r>
      <w:r w:rsidR="003627F0">
        <w:rPr>
          <w:rFonts w:asciiTheme="minorHAnsi" w:hAnsiTheme="minorHAnsi"/>
          <w:sz w:val="22"/>
          <w:szCs w:val="22"/>
          <w:lang w:val="es-AR" w:eastAsia="es-AR"/>
        </w:rPr>
        <w:t>se manifiesta</w:t>
      </w:r>
      <w:r w:rsidR="0092785B" w:rsidRPr="00A976A6">
        <w:rPr>
          <w:rFonts w:asciiTheme="minorHAnsi" w:hAnsiTheme="minorHAnsi"/>
          <w:sz w:val="22"/>
          <w:szCs w:val="22"/>
          <w:lang w:val="es-AR" w:eastAsia="es-AR"/>
        </w:rPr>
        <w:t xml:space="preserve"> en </w:t>
      </w:r>
      <w:r w:rsidR="00825DA5">
        <w:rPr>
          <w:rFonts w:asciiTheme="minorHAnsi" w:hAnsiTheme="minorHAnsi"/>
          <w:sz w:val="22"/>
          <w:szCs w:val="22"/>
          <w:lang w:val="es-AR" w:eastAsia="es-AR"/>
        </w:rPr>
        <w:t>las</w:t>
      </w:r>
      <w:r w:rsidR="006F4A8C">
        <w:rPr>
          <w:rFonts w:asciiTheme="minorHAnsi" w:hAnsiTheme="minorHAnsi"/>
          <w:sz w:val="22"/>
          <w:szCs w:val="22"/>
          <w:lang w:val="es-AR" w:eastAsia="es-AR"/>
        </w:rPr>
        <w:t xml:space="preserve"> capacidades de las mujeres </w:t>
      </w:r>
      <w:r w:rsidR="003627F0">
        <w:rPr>
          <w:rFonts w:asciiTheme="minorHAnsi" w:hAnsiTheme="minorHAnsi"/>
          <w:sz w:val="22"/>
          <w:szCs w:val="22"/>
          <w:lang w:val="es-AR" w:eastAsia="es-AR"/>
        </w:rPr>
        <w:t xml:space="preserve">y en </w:t>
      </w:r>
      <w:r w:rsidR="0092785B" w:rsidRPr="00A976A6">
        <w:rPr>
          <w:rFonts w:asciiTheme="minorHAnsi" w:hAnsiTheme="minorHAnsi"/>
          <w:sz w:val="22"/>
          <w:szCs w:val="22"/>
          <w:lang w:val="es-AR"/>
        </w:rPr>
        <w:t>las condiciones e</w:t>
      </w:r>
      <w:r w:rsidR="003627F0">
        <w:rPr>
          <w:rFonts w:asciiTheme="minorHAnsi" w:hAnsiTheme="minorHAnsi"/>
          <w:sz w:val="22"/>
          <w:szCs w:val="22"/>
          <w:lang w:val="es-AR"/>
        </w:rPr>
        <w:t>xistentes</w:t>
      </w:r>
      <w:r w:rsidR="0092785B" w:rsidRPr="00A976A6">
        <w:rPr>
          <w:rFonts w:asciiTheme="minorHAnsi" w:hAnsiTheme="minorHAnsi"/>
          <w:sz w:val="22"/>
          <w:szCs w:val="22"/>
          <w:lang w:val="es-AR"/>
        </w:rPr>
        <w:t xml:space="preserve"> </w:t>
      </w:r>
      <w:r w:rsidR="006F4A8C">
        <w:rPr>
          <w:rFonts w:asciiTheme="minorHAnsi" w:hAnsiTheme="minorHAnsi"/>
          <w:sz w:val="22"/>
          <w:szCs w:val="22"/>
          <w:lang w:val="es-AR" w:eastAsia="es-AR"/>
        </w:rPr>
        <w:t>de</w:t>
      </w:r>
      <w:r w:rsidR="0092785B" w:rsidRPr="00A976A6">
        <w:rPr>
          <w:rFonts w:asciiTheme="minorHAnsi" w:hAnsiTheme="minorHAnsi"/>
          <w:sz w:val="22"/>
          <w:szCs w:val="22"/>
          <w:lang w:val="es-AR" w:eastAsia="es-AR"/>
        </w:rPr>
        <w:t xml:space="preserve"> respeto </w:t>
      </w:r>
      <w:r w:rsidR="006F4A8C">
        <w:rPr>
          <w:rFonts w:asciiTheme="minorHAnsi" w:hAnsiTheme="minorHAnsi"/>
          <w:sz w:val="22"/>
          <w:szCs w:val="22"/>
          <w:lang w:val="es-AR" w:eastAsia="es-AR"/>
        </w:rPr>
        <w:t xml:space="preserve">(o no) </w:t>
      </w:r>
      <w:r w:rsidR="0092785B" w:rsidRPr="00A976A6">
        <w:rPr>
          <w:rFonts w:asciiTheme="minorHAnsi" w:hAnsiTheme="minorHAnsi"/>
          <w:sz w:val="22"/>
          <w:szCs w:val="22"/>
          <w:lang w:val="es-AR" w:eastAsia="es-AR"/>
        </w:rPr>
        <w:t xml:space="preserve">de </w:t>
      </w:r>
      <w:r w:rsidR="003627F0">
        <w:rPr>
          <w:rFonts w:asciiTheme="minorHAnsi" w:hAnsiTheme="minorHAnsi"/>
          <w:sz w:val="22"/>
          <w:szCs w:val="22"/>
          <w:lang w:val="es-AR" w:eastAsia="es-AR"/>
        </w:rPr>
        <w:t>los</w:t>
      </w:r>
      <w:r w:rsidR="0092785B" w:rsidRPr="00A976A6">
        <w:rPr>
          <w:rFonts w:asciiTheme="minorHAnsi" w:hAnsiTheme="minorHAnsi"/>
          <w:sz w:val="22"/>
          <w:szCs w:val="22"/>
          <w:lang w:val="es-AR" w:eastAsia="es-AR"/>
        </w:rPr>
        <w:t xml:space="preserve"> derechos reproductivos y a vivir en un ambiente libre de violencia </w:t>
      </w:r>
      <w:r w:rsidR="008C75CC">
        <w:rPr>
          <w:rFonts w:asciiTheme="minorHAnsi" w:hAnsiTheme="minorHAnsi"/>
          <w:sz w:val="22"/>
          <w:szCs w:val="22"/>
          <w:lang w:val="es-AR" w:eastAsia="es-AR"/>
        </w:rPr>
        <w:t>resulta</w:t>
      </w:r>
      <w:r w:rsidR="0092785B" w:rsidRPr="00A976A6">
        <w:rPr>
          <w:rFonts w:asciiTheme="minorHAnsi" w:hAnsiTheme="minorHAnsi"/>
          <w:sz w:val="22"/>
          <w:szCs w:val="22"/>
          <w:lang w:val="es-AR" w:eastAsia="es-AR"/>
        </w:rPr>
        <w:t xml:space="preserve"> </w:t>
      </w:r>
      <w:r w:rsidR="006F4A8C">
        <w:rPr>
          <w:rFonts w:asciiTheme="minorHAnsi" w:hAnsiTheme="minorHAnsi"/>
          <w:sz w:val="22"/>
          <w:szCs w:val="22"/>
          <w:lang w:val="es-AR" w:eastAsia="es-AR"/>
        </w:rPr>
        <w:t>clave</w:t>
      </w:r>
      <w:r w:rsidR="0092785B" w:rsidRPr="00A976A6">
        <w:rPr>
          <w:rFonts w:asciiTheme="minorHAnsi" w:hAnsiTheme="minorHAnsi"/>
          <w:sz w:val="22"/>
          <w:szCs w:val="22"/>
          <w:lang w:val="es-AR" w:eastAsia="es-AR"/>
        </w:rPr>
        <w:t xml:space="preserve"> conocer la situación de la legislación </w:t>
      </w:r>
      <w:r w:rsidR="00781817">
        <w:rPr>
          <w:rFonts w:asciiTheme="minorHAnsi" w:hAnsiTheme="minorHAnsi"/>
          <w:sz w:val="22"/>
          <w:szCs w:val="22"/>
          <w:lang w:val="es-AR" w:eastAsia="es-AR"/>
        </w:rPr>
        <w:t>específica</w:t>
      </w:r>
      <w:r w:rsidR="0092785B" w:rsidRPr="00A976A6">
        <w:rPr>
          <w:rFonts w:asciiTheme="minorHAnsi" w:hAnsiTheme="minorHAnsi"/>
          <w:sz w:val="22"/>
          <w:szCs w:val="22"/>
          <w:lang w:val="es-AR" w:eastAsia="es-AR"/>
        </w:rPr>
        <w:t xml:space="preserve"> </w:t>
      </w:r>
      <w:r w:rsidR="00781817">
        <w:rPr>
          <w:rFonts w:asciiTheme="minorHAnsi" w:hAnsiTheme="minorHAnsi"/>
          <w:sz w:val="22"/>
          <w:szCs w:val="22"/>
          <w:lang w:val="es-AR" w:eastAsia="es-AR"/>
        </w:rPr>
        <w:t>y</w:t>
      </w:r>
      <w:r w:rsidR="0092785B" w:rsidRPr="00A976A6">
        <w:rPr>
          <w:rFonts w:asciiTheme="minorHAnsi" w:hAnsiTheme="minorHAnsi"/>
          <w:sz w:val="22"/>
          <w:szCs w:val="22"/>
          <w:lang w:val="es-AR" w:eastAsia="es-AR"/>
        </w:rPr>
        <w:t xml:space="preserve"> </w:t>
      </w:r>
      <w:r w:rsidR="003627F0">
        <w:rPr>
          <w:rFonts w:asciiTheme="minorHAnsi" w:hAnsiTheme="minorHAnsi"/>
          <w:sz w:val="22"/>
          <w:szCs w:val="22"/>
          <w:lang w:val="es-AR" w:eastAsia="es-AR"/>
        </w:rPr>
        <w:t>analizar</w:t>
      </w:r>
      <w:r w:rsidR="0092785B" w:rsidRPr="00A976A6">
        <w:rPr>
          <w:rFonts w:asciiTheme="minorHAnsi" w:hAnsiTheme="minorHAnsi"/>
          <w:sz w:val="22"/>
          <w:szCs w:val="22"/>
          <w:lang w:val="es-AR" w:eastAsia="es-AR"/>
        </w:rPr>
        <w:t xml:space="preserve"> la tendencia </w:t>
      </w:r>
      <w:r w:rsidR="00781817">
        <w:rPr>
          <w:rFonts w:asciiTheme="minorHAnsi" w:hAnsiTheme="minorHAnsi"/>
          <w:sz w:val="22"/>
          <w:szCs w:val="22"/>
          <w:lang w:val="es-AR" w:eastAsia="es-AR"/>
        </w:rPr>
        <w:t>de los indicadores seleccionados que visibilizan la situación de los países en términos comparativos</w:t>
      </w:r>
      <w:r w:rsidR="0092785B" w:rsidRPr="00A976A6">
        <w:rPr>
          <w:rFonts w:asciiTheme="minorHAnsi" w:hAnsiTheme="minorHAnsi"/>
          <w:sz w:val="22"/>
          <w:szCs w:val="22"/>
          <w:lang w:val="es-AR"/>
        </w:rPr>
        <w:t>.</w:t>
      </w:r>
    </w:p>
    <w:p w:rsidR="00537776" w:rsidRPr="009845E2" w:rsidRDefault="00D53DB4" w:rsidP="009845E2">
      <w:pPr>
        <w:pStyle w:val="31Subttulo1"/>
        <w:spacing w:before="0" w:after="0" w:line="360" w:lineRule="auto"/>
        <w:ind w:left="357" w:hanging="357"/>
        <w:rPr>
          <w:sz w:val="22"/>
          <w:szCs w:val="22"/>
        </w:rPr>
      </w:pPr>
      <w:r w:rsidRPr="009845E2">
        <w:rPr>
          <w:sz w:val="22"/>
          <w:szCs w:val="22"/>
        </w:rPr>
        <w:t xml:space="preserve">Derechos </w:t>
      </w:r>
      <w:r w:rsidR="004964BB" w:rsidRPr="009845E2">
        <w:rPr>
          <w:sz w:val="22"/>
          <w:szCs w:val="22"/>
        </w:rPr>
        <w:t xml:space="preserve">sexuales y derechos </w:t>
      </w:r>
      <w:r w:rsidRPr="009845E2">
        <w:rPr>
          <w:sz w:val="22"/>
          <w:szCs w:val="22"/>
        </w:rPr>
        <w:t>reproductivos</w:t>
      </w:r>
    </w:p>
    <w:p w:rsidR="003A3822" w:rsidRDefault="00BF1C75" w:rsidP="002E095C">
      <w:pPr>
        <w:widowControl w:val="0"/>
        <w:spacing w:line="300" w:lineRule="auto"/>
        <w:contextualSpacing/>
        <w:jc w:val="both"/>
        <w:rPr>
          <w:rFonts w:asciiTheme="minorHAnsi" w:hAnsiTheme="minorHAnsi"/>
          <w:sz w:val="22"/>
          <w:szCs w:val="22"/>
          <w:lang w:val="es-AR" w:eastAsia="es-AR"/>
        </w:rPr>
      </w:pPr>
      <w:r w:rsidRPr="00597BF1">
        <w:rPr>
          <w:rFonts w:asciiTheme="minorHAnsi" w:hAnsiTheme="minorHAnsi"/>
          <w:sz w:val="22"/>
          <w:szCs w:val="22"/>
          <w:lang w:val="es-AR" w:eastAsia="es-AR"/>
        </w:rPr>
        <w:t>La existencia de</w:t>
      </w:r>
      <w:r w:rsidR="00DE5DF7">
        <w:rPr>
          <w:rFonts w:asciiTheme="minorHAnsi" w:hAnsiTheme="minorHAnsi"/>
          <w:sz w:val="22"/>
          <w:szCs w:val="22"/>
          <w:lang w:val="es-AR" w:eastAsia="es-AR"/>
        </w:rPr>
        <w:t xml:space="preserve"> leyes que favorecen</w:t>
      </w:r>
      <w:r w:rsidRPr="00597BF1">
        <w:rPr>
          <w:rFonts w:asciiTheme="minorHAnsi" w:hAnsiTheme="minorHAnsi"/>
          <w:sz w:val="22"/>
          <w:szCs w:val="22"/>
          <w:lang w:val="es-AR" w:eastAsia="es-AR"/>
        </w:rPr>
        <w:t xml:space="preserve"> el acceso a </w:t>
      </w:r>
      <w:r w:rsidR="009A654F">
        <w:rPr>
          <w:rFonts w:asciiTheme="minorHAnsi" w:hAnsiTheme="minorHAnsi"/>
          <w:sz w:val="22"/>
          <w:szCs w:val="22"/>
          <w:lang w:val="es-AR" w:eastAsia="es-AR"/>
        </w:rPr>
        <w:t xml:space="preserve">la información y a los </w:t>
      </w:r>
      <w:r w:rsidRPr="00597BF1">
        <w:rPr>
          <w:rFonts w:asciiTheme="minorHAnsi" w:hAnsiTheme="minorHAnsi"/>
          <w:sz w:val="22"/>
          <w:szCs w:val="22"/>
          <w:lang w:val="es-AR" w:eastAsia="es-AR"/>
        </w:rPr>
        <w:t xml:space="preserve">servicios de salud sexual y reproductiva </w:t>
      </w:r>
      <w:r w:rsidRPr="00BF1C75">
        <w:rPr>
          <w:rFonts w:asciiTheme="minorHAnsi" w:hAnsiTheme="minorHAnsi"/>
          <w:sz w:val="22"/>
          <w:szCs w:val="22"/>
          <w:lang w:val="es-AR" w:eastAsia="es-AR"/>
        </w:rPr>
        <w:t>para niñas</w:t>
      </w:r>
      <w:r w:rsidR="00281220">
        <w:rPr>
          <w:rFonts w:asciiTheme="minorHAnsi" w:hAnsiTheme="minorHAnsi"/>
          <w:sz w:val="22"/>
          <w:szCs w:val="22"/>
          <w:lang w:val="es-AR" w:eastAsia="es-AR"/>
        </w:rPr>
        <w:t xml:space="preserve">, niños </w:t>
      </w:r>
      <w:r w:rsidRPr="00BF1C75">
        <w:rPr>
          <w:rFonts w:asciiTheme="minorHAnsi" w:hAnsiTheme="minorHAnsi"/>
          <w:sz w:val="22"/>
          <w:szCs w:val="22"/>
          <w:lang w:val="es-AR" w:eastAsia="es-AR"/>
        </w:rPr>
        <w:t xml:space="preserve">y adolescentes es fundamental para el ejercicio de </w:t>
      </w:r>
      <w:r w:rsidR="006F0C28">
        <w:rPr>
          <w:rFonts w:asciiTheme="minorHAnsi" w:hAnsiTheme="minorHAnsi"/>
          <w:sz w:val="22"/>
          <w:szCs w:val="22"/>
          <w:lang w:val="es-AR" w:eastAsia="es-AR"/>
        </w:rPr>
        <w:t>tal</w:t>
      </w:r>
      <w:r w:rsidR="009A654F">
        <w:rPr>
          <w:rFonts w:asciiTheme="minorHAnsi" w:hAnsiTheme="minorHAnsi"/>
          <w:sz w:val="22"/>
          <w:szCs w:val="22"/>
          <w:lang w:val="es-AR" w:eastAsia="es-AR"/>
        </w:rPr>
        <w:t>es</w:t>
      </w:r>
      <w:r w:rsidR="006F0C28">
        <w:rPr>
          <w:rFonts w:asciiTheme="minorHAnsi" w:hAnsiTheme="minorHAnsi"/>
          <w:sz w:val="22"/>
          <w:szCs w:val="22"/>
          <w:lang w:val="es-AR" w:eastAsia="es-AR"/>
        </w:rPr>
        <w:t xml:space="preserve"> </w:t>
      </w:r>
      <w:r w:rsidRPr="00BF1C75">
        <w:rPr>
          <w:rFonts w:asciiTheme="minorHAnsi" w:hAnsiTheme="minorHAnsi"/>
          <w:sz w:val="22"/>
          <w:szCs w:val="22"/>
          <w:lang w:val="es-AR" w:eastAsia="es-AR"/>
        </w:rPr>
        <w:t>derecho</w:t>
      </w:r>
      <w:r w:rsidR="009A654F">
        <w:rPr>
          <w:rFonts w:asciiTheme="minorHAnsi" w:hAnsiTheme="minorHAnsi"/>
          <w:sz w:val="22"/>
          <w:szCs w:val="22"/>
          <w:lang w:val="es-AR" w:eastAsia="es-AR"/>
        </w:rPr>
        <w:t>s</w:t>
      </w:r>
      <w:r w:rsidRPr="00BF1C75">
        <w:rPr>
          <w:rFonts w:asciiTheme="minorHAnsi" w:hAnsiTheme="minorHAnsi"/>
          <w:sz w:val="22"/>
          <w:szCs w:val="22"/>
          <w:lang w:val="es-AR" w:eastAsia="es-AR"/>
        </w:rPr>
        <w:t>. El derecho a la salud sexual y reproductiva incluye</w:t>
      </w:r>
      <w:r w:rsidR="004D2E24">
        <w:rPr>
          <w:rFonts w:asciiTheme="minorHAnsi" w:hAnsiTheme="minorHAnsi"/>
          <w:sz w:val="22"/>
          <w:szCs w:val="22"/>
          <w:lang w:val="es-AR" w:eastAsia="es-AR"/>
        </w:rPr>
        <w:t>,</w:t>
      </w:r>
      <w:r w:rsidRPr="00BF1C75">
        <w:rPr>
          <w:rFonts w:asciiTheme="minorHAnsi" w:hAnsiTheme="minorHAnsi"/>
          <w:sz w:val="22"/>
          <w:szCs w:val="22"/>
          <w:lang w:val="es-AR" w:eastAsia="es-AR"/>
        </w:rPr>
        <w:t xml:space="preserve"> el derecho a la protección contra la violen</w:t>
      </w:r>
      <w:r w:rsidR="00281220">
        <w:rPr>
          <w:rFonts w:asciiTheme="minorHAnsi" w:hAnsiTheme="minorHAnsi"/>
          <w:sz w:val="22"/>
          <w:szCs w:val="22"/>
          <w:lang w:val="es-AR" w:eastAsia="es-AR"/>
        </w:rPr>
        <w:t xml:space="preserve">cia y el derecho de las mujeres, </w:t>
      </w:r>
      <w:r w:rsidR="00FD25B0">
        <w:rPr>
          <w:rFonts w:asciiTheme="minorHAnsi" w:hAnsiTheme="minorHAnsi"/>
          <w:sz w:val="22"/>
          <w:szCs w:val="22"/>
          <w:lang w:val="es-AR" w:eastAsia="es-AR"/>
        </w:rPr>
        <w:t xml:space="preserve">adolescentes, </w:t>
      </w:r>
      <w:r w:rsidR="00281220" w:rsidRPr="00BF1C75">
        <w:rPr>
          <w:rFonts w:asciiTheme="minorHAnsi" w:hAnsiTheme="minorHAnsi"/>
          <w:sz w:val="22"/>
          <w:szCs w:val="22"/>
          <w:lang w:val="es-AR" w:eastAsia="es-AR"/>
        </w:rPr>
        <w:t>niñas</w:t>
      </w:r>
      <w:r w:rsidR="00281220">
        <w:rPr>
          <w:rFonts w:asciiTheme="minorHAnsi" w:hAnsiTheme="minorHAnsi"/>
          <w:sz w:val="22"/>
          <w:szCs w:val="22"/>
          <w:lang w:val="es-AR" w:eastAsia="es-AR"/>
        </w:rPr>
        <w:t xml:space="preserve"> y niños </w:t>
      </w:r>
      <w:r w:rsidRPr="00BF1C75">
        <w:rPr>
          <w:rFonts w:asciiTheme="minorHAnsi" w:hAnsiTheme="minorHAnsi"/>
          <w:sz w:val="22"/>
          <w:szCs w:val="22"/>
          <w:lang w:val="es-AR" w:eastAsia="es-AR"/>
        </w:rPr>
        <w:t xml:space="preserve">a decidir </w:t>
      </w:r>
      <w:r w:rsidR="0057526A" w:rsidRPr="00BF1C75">
        <w:rPr>
          <w:rFonts w:asciiTheme="minorHAnsi" w:hAnsiTheme="minorHAnsi"/>
          <w:sz w:val="22"/>
          <w:szCs w:val="22"/>
          <w:lang w:val="es-AR" w:eastAsia="es-AR"/>
        </w:rPr>
        <w:t>acerca de</w:t>
      </w:r>
      <w:r w:rsidRPr="00BF1C75">
        <w:rPr>
          <w:rFonts w:asciiTheme="minorHAnsi" w:hAnsiTheme="minorHAnsi"/>
          <w:sz w:val="22"/>
          <w:szCs w:val="22"/>
          <w:lang w:val="es-AR" w:eastAsia="es-AR"/>
        </w:rPr>
        <w:t xml:space="preserve"> su cuerpo sin coacción ni violencia, a acceder a servicios, información y suministros económicamente asequibles y de buena calidad. </w:t>
      </w:r>
      <w:r w:rsidR="00FD25B0">
        <w:rPr>
          <w:rFonts w:asciiTheme="minorHAnsi" w:hAnsiTheme="minorHAnsi"/>
          <w:sz w:val="22"/>
          <w:szCs w:val="22"/>
          <w:lang w:val="es-AR" w:eastAsia="es-AR"/>
        </w:rPr>
        <w:t xml:space="preserve">En efecto, </w:t>
      </w:r>
      <w:r w:rsidR="00E67858">
        <w:rPr>
          <w:rFonts w:asciiTheme="minorHAnsi" w:hAnsiTheme="minorHAnsi"/>
          <w:sz w:val="22"/>
          <w:szCs w:val="22"/>
          <w:lang w:val="es-AR" w:eastAsia="es-AR"/>
        </w:rPr>
        <w:t>e</w:t>
      </w:r>
      <w:r w:rsidR="00281220" w:rsidRPr="00BF1C75">
        <w:rPr>
          <w:rFonts w:asciiTheme="minorHAnsi" w:hAnsiTheme="minorHAnsi"/>
          <w:sz w:val="22"/>
          <w:szCs w:val="22"/>
          <w:lang w:val="es-AR" w:eastAsia="es-AR"/>
        </w:rPr>
        <w:t xml:space="preserve">l Consenso de Montevideo sobre Población y Desarrollo de 2013 </w:t>
      </w:r>
      <w:r w:rsidR="00FD25B0">
        <w:rPr>
          <w:rFonts w:asciiTheme="minorHAnsi" w:hAnsiTheme="minorHAnsi"/>
          <w:sz w:val="22"/>
          <w:szCs w:val="22"/>
          <w:lang w:val="es-AR" w:eastAsia="es-AR"/>
        </w:rPr>
        <w:t>destaca la</w:t>
      </w:r>
      <w:r w:rsidR="00281220" w:rsidRPr="00BF1C75">
        <w:rPr>
          <w:rFonts w:asciiTheme="minorHAnsi" w:hAnsiTheme="minorHAnsi"/>
          <w:sz w:val="22"/>
          <w:szCs w:val="22"/>
          <w:lang w:val="es-AR" w:eastAsia="es-AR"/>
        </w:rPr>
        <w:t xml:space="preserve"> </w:t>
      </w:r>
      <w:r w:rsidR="00E67858">
        <w:rPr>
          <w:rFonts w:asciiTheme="minorHAnsi" w:hAnsiTheme="minorHAnsi"/>
          <w:sz w:val="22"/>
          <w:szCs w:val="22"/>
          <w:lang w:val="es-AR" w:eastAsia="es-AR"/>
        </w:rPr>
        <w:t xml:space="preserve">importancia de </w:t>
      </w:r>
      <w:r w:rsidR="00281220" w:rsidRPr="00BF1C75">
        <w:rPr>
          <w:rFonts w:asciiTheme="minorHAnsi" w:hAnsiTheme="minorHAnsi"/>
          <w:sz w:val="22"/>
          <w:szCs w:val="22"/>
          <w:lang w:val="es-AR" w:eastAsia="es-AR"/>
        </w:rPr>
        <w:t>implementa</w:t>
      </w:r>
      <w:r w:rsidR="00E67858">
        <w:rPr>
          <w:rFonts w:asciiTheme="minorHAnsi" w:hAnsiTheme="minorHAnsi"/>
          <w:sz w:val="22"/>
          <w:szCs w:val="22"/>
          <w:lang w:val="es-AR" w:eastAsia="es-AR"/>
        </w:rPr>
        <w:t>r</w:t>
      </w:r>
      <w:r w:rsidR="00FD25B0">
        <w:rPr>
          <w:rFonts w:asciiTheme="minorHAnsi" w:hAnsiTheme="minorHAnsi"/>
          <w:sz w:val="22"/>
          <w:szCs w:val="22"/>
          <w:lang w:val="es-AR" w:eastAsia="es-AR"/>
        </w:rPr>
        <w:t xml:space="preserve"> </w:t>
      </w:r>
      <w:r w:rsidR="00281220" w:rsidRPr="00BF1C75">
        <w:rPr>
          <w:rFonts w:asciiTheme="minorHAnsi" w:hAnsiTheme="minorHAnsi"/>
          <w:sz w:val="22"/>
          <w:szCs w:val="22"/>
          <w:lang w:val="es-AR" w:eastAsia="es-AR"/>
        </w:rPr>
        <w:t>programas de sa</w:t>
      </w:r>
      <w:r w:rsidR="003A3822">
        <w:rPr>
          <w:rFonts w:asciiTheme="minorHAnsi" w:hAnsiTheme="minorHAnsi"/>
          <w:sz w:val="22"/>
          <w:szCs w:val="22"/>
          <w:lang w:val="es-AR" w:eastAsia="es-AR"/>
        </w:rPr>
        <w:t>lud sexual y salud reproductiva</w:t>
      </w:r>
      <w:r w:rsidR="00FE6D53">
        <w:rPr>
          <w:rFonts w:asciiTheme="minorHAnsi" w:hAnsiTheme="minorHAnsi"/>
          <w:sz w:val="22"/>
          <w:szCs w:val="22"/>
          <w:lang w:val="es-AR" w:eastAsia="es-AR"/>
        </w:rPr>
        <w:t xml:space="preserve"> (</w:t>
      </w:r>
      <w:r w:rsidR="00FE6D53" w:rsidRPr="003A3822">
        <w:rPr>
          <w:rFonts w:asciiTheme="minorHAnsi" w:hAnsiTheme="minorHAnsi"/>
          <w:sz w:val="22"/>
          <w:szCs w:val="22"/>
          <w:lang w:val="es-AR" w:eastAsia="es-AR"/>
        </w:rPr>
        <w:t>Céspedes</w:t>
      </w:r>
      <w:r w:rsidR="00FE6D53">
        <w:rPr>
          <w:rFonts w:asciiTheme="minorHAnsi" w:hAnsiTheme="minorHAnsi"/>
          <w:sz w:val="22"/>
          <w:szCs w:val="22"/>
          <w:lang w:val="es-AR" w:eastAsia="es-AR"/>
        </w:rPr>
        <w:t xml:space="preserve"> y </w:t>
      </w:r>
      <w:r w:rsidR="00FE6D53" w:rsidRPr="003A3822">
        <w:rPr>
          <w:rFonts w:asciiTheme="minorHAnsi" w:hAnsiTheme="minorHAnsi"/>
          <w:sz w:val="22"/>
          <w:szCs w:val="22"/>
          <w:lang w:val="es-AR" w:eastAsia="es-AR"/>
        </w:rPr>
        <w:t>Robles</w:t>
      </w:r>
      <w:r w:rsidR="00FE6D53">
        <w:rPr>
          <w:rFonts w:asciiTheme="minorHAnsi" w:hAnsiTheme="minorHAnsi"/>
          <w:sz w:val="22"/>
          <w:szCs w:val="22"/>
          <w:lang w:val="es-AR" w:eastAsia="es-AR"/>
        </w:rPr>
        <w:t>, 2016)</w:t>
      </w:r>
    </w:p>
    <w:p w:rsidR="00281220" w:rsidRPr="00BF1C75" w:rsidRDefault="00FD25B0" w:rsidP="003A3822">
      <w:pPr>
        <w:ind w:left="567" w:right="567"/>
        <w:jc w:val="both"/>
        <w:rPr>
          <w:rFonts w:asciiTheme="minorHAnsi" w:hAnsiTheme="minorHAnsi"/>
          <w:sz w:val="22"/>
          <w:szCs w:val="22"/>
          <w:lang w:val="es-AR" w:eastAsia="es-AR"/>
        </w:rPr>
      </w:pPr>
      <w:r>
        <w:rPr>
          <w:rFonts w:asciiTheme="minorHAnsi" w:hAnsiTheme="minorHAnsi"/>
          <w:sz w:val="22"/>
          <w:szCs w:val="22"/>
          <w:lang w:val="es-AR" w:eastAsia="es-AR"/>
        </w:rPr>
        <w:t>“que i</w:t>
      </w:r>
      <w:r w:rsidR="00281220" w:rsidRPr="00BF1C75">
        <w:rPr>
          <w:rFonts w:asciiTheme="minorHAnsi" w:hAnsiTheme="minorHAnsi"/>
          <w:sz w:val="22"/>
          <w:szCs w:val="22"/>
          <w:lang w:val="es-AR" w:eastAsia="es-AR"/>
        </w:rPr>
        <w:t>ncluyan servicios</w:t>
      </w:r>
      <w:r>
        <w:rPr>
          <w:rFonts w:asciiTheme="minorHAnsi" w:hAnsiTheme="minorHAnsi"/>
          <w:sz w:val="22"/>
          <w:szCs w:val="22"/>
          <w:lang w:val="es-AR" w:eastAsia="es-AR"/>
        </w:rPr>
        <w:t xml:space="preserve"> </w:t>
      </w:r>
      <w:r w:rsidR="00281220" w:rsidRPr="00BF1C75">
        <w:rPr>
          <w:rFonts w:asciiTheme="minorHAnsi" w:hAnsiTheme="minorHAnsi"/>
          <w:sz w:val="22"/>
          <w:szCs w:val="22"/>
          <w:lang w:val="es-AR" w:eastAsia="es-AR"/>
        </w:rPr>
        <w:t>amigables, con perspectiva de género, derechos humanos, intergeneracional e intercultural, y que garanticen el acceso a métodos anticonceptivos modernos, seguros y eficaces, respetando el principio de confidencialidad y privacidad, para que adolescentes y jóvenes ejerzan sus derechos sexuales y derechos reproductivos, tengan una vida sexual responsable, placentera y saludable, eviten los embarazos tempranos y los no deseados, la transmisión del VIH y otras infecciones de transmisión sexual; y tomen decisiones libres, informadas y responsables con relación a su vida sexual y reproductiva y al ejercicio de su orientación sexual”.</w:t>
      </w:r>
    </w:p>
    <w:p w:rsidR="00281220" w:rsidRDefault="00281220" w:rsidP="00BF1C75">
      <w:pPr>
        <w:spacing w:line="360" w:lineRule="auto"/>
        <w:jc w:val="both"/>
        <w:rPr>
          <w:rFonts w:asciiTheme="minorHAnsi" w:hAnsiTheme="minorHAnsi"/>
          <w:sz w:val="22"/>
          <w:szCs w:val="22"/>
          <w:lang w:val="es-AR" w:eastAsia="es-AR"/>
        </w:rPr>
      </w:pPr>
    </w:p>
    <w:p w:rsidR="00C84005" w:rsidRDefault="004B0766" w:rsidP="00585778">
      <w:pPr>
        <w:widowControl w:val="0"/>
        <w:spacing w:line="300" w:lineRule="auto"/>
        <w:ind w:firstLine="720"/>
        <w:contextualSpacing/>
        <w:jc w:val="both"/>
        <w:rPr>
          <w:rFonts w:asciiTheme="minorHAnsi" w:hAnsiTheme="minorHAnsi"/>
          <w:sz w:val="22"/>
          <w:szCs w:val="22"/>
          <w:lang w:val="es-AR" w:eastAsia="es-AR"/>
        </w:rPr>
      </w:pPr>
      <w:r>
        <w:rPr>
          <w:rFonts w:asciiTheme="minorHAnsi" w:hAnsiTheme="minorHAnsi"/>
          <w:sz w:val="22"/>
          <w:szCs w:val="22"/>
          <w:lang w:val="es-AR" w:eastAsia="es-AR"/>
        </w:rPr>
        <w:t>No obstante</w:t>
      </w:r>
      <w:r w:rsidRPr="00917D43">
        <w:rPr>
          <w:rFonts w:asciiTheme="minorHAnsi" w:hAnsiTheme="minorHAnsi"/>
          <w:sz w:val="22"/>
          <w:szCs w:val="22"/>
          <w:lang w:val="es-AR" w:eastAsia="es-AR"/>
        </w:rPr>
        <w:t xml:space="preserve">, el panorama del acceso a la </w:t>
      </w:r>
      <w:r w:rsidRPr="00BF1C75">
        <w:rPr>
          <w:rFonts w:asciiTheme="minorHAnsi" w:hAnsiTheme="minorHAnsi"/>
          <w:sz w:val="22"/>
          <w:szCs w:val="22"/>
          <w:lang w:val="es-AR" w:eastAsia="es-AR"/>
        </w:rPr>
        <w:t>salud sexual y reproductiva</w:t>
      </w:r>
      <w:r w:rsidRPr="00917D43">
        <w:rPr>
          <w:rFonts w:asciiTheme="minorHAnsi" w:hAnsiTheme="minorHAnsi"/>
          <w:sz w:val="22"/>
          <w:szCs w:val="22"/>
          <w:lang w:val="es-AR" w:eastAsia="es-AR"/>
        </w:rPr>
        <w:t xml:space="preserve">, entre las niñas y las adolescentes, </w:t>
      </w:r>
      <w:r w:rsidR="00927E97">
        <w:rPr>
          <w:rFonts w:asciiTheme="minorHAnsi" w:hAnsiTheme="minorHAnsi"/>
          <w:sz w:val="22"/>
          <w:szCs w:val="22"/>
          <w:lang w:val="es-AR" w:eastAsia="es-AR"/>
        </w:rPr>
        <w:t>deja ver</w:t>
      </w:r>
      <w:r w:rsidRPr="00917D43">
        <w:rPr>
          <w:rFonts w:asciiTheme="minorHAnsi" w:hAnsiTheme="minorHAnsi"/>
          <w:sz w:val="22"/>
          <w:szCs w:val="22"/>
          <w:lang w:val="es-AR" w:eastAsia="es-AR"/>
        </w:rPr>
        <w:t xml:space="preserve"> </w:t>
      </w:r>
      <w:r w:rsidR="00927E97">
        <w:rPr>
          <w:rFonts w:asciiTheme="minorHAnsi" w:hAnsiTheme="minorHAnsi"/>
          <w:sz w:val="22"/>
          <w:szCs w:val="22"/>
          <w:lang w:val="es-AR" w:eastAsia="es-AR"/>
        </w:rPr>
        <w:t>luces</w:t>
      </w:r>
      <w:r w:rsidRPr="00917D43">
        <w:rPr>
          <w:rFonts w:asciiTheme="minorHAnsi" w:hAnsiTheme="minorHAnsi"/>
          <w:sz w:val="22"/>
          <w:szCs w:val="22"/>
          <w:lang w:val="es-AR" w:eastAsia="es-AR"/>
        </w:rPr>
        <w:t xml:space="preserve"> y</w:t>
      </w:r>
      <w:r>
        <w:rPr>
          <w:rFonts w:asciiTheme="minorHAnsi" w:hAnsiTheme="minorHAnsi"/>
          <w:sz w:val="22"/>
          <w:szCs w:val="22"/>
          <w:lang w:val="es-AR" w:eastAsia="es-AR"/>
        </w:rPr>
        <w:t xml:space="preserve"> </w:t>
      </w:r>
      <w:r w:rsidR="00927E97">
        <w:rPr>
          <w:rFonts w:asciiTheme="minorHAnsi" w:hAnsiTheme="minorHAnsi"/>
          <w:sz w:val="22"/>
          <w:szCs w:val="22"/>
          <w:lang w:val="es-AR" w:eastAsia="es-AR"/>
        </w:rPr>
        <w:t>sombras</w:t>
      </w:r>
      <w:r w:rsidR="00C84005">
        <w:rPr>
          <w:rFonts w:asciiTheme="minorHAnsi" w:hAnsiTheme="minorHAnsi"/>
          <w:sz w:val="22"/>
          <w:szCs w:val="22"/>
          <w:lang w:val="es-AR" w:eastAsia="es-AR"/>
        </w:rPr>
        <w:t xml:space="preserve"> ya que e</w:t>
      </w:r>
      <w:r w:rsidR="00C84005" w:rsidRPr="00A83AC1">
        <w:rPr>
          <w:rFonts w:asciiTheme="minorHAnsi" w:hAnsiTheme="minorHAnsi"/>
          <w:sz w:val="22"/>
          <w:szCs w:val="22"/>
          <w:lang w:val="es-AR" w:eastAsia="es-AR"/>
        </w:rPr>
        <w:t xml:space="preserve">l embarazo en la adolescencia es un problema que </w:t>
      </w:r>
      <w:r w:rsidR="00C84005" w:rsidRPr="00A83AC1">
        <w:rPr>
          <w:rFonts w:asciiTheme="minorHAnsi" w:hAnsiTheme="minorHAnsi"/>
          <w:sz w:val="22"/>
          <w:szCs w:val="22"/>
          <w:lang w:val="es-AR" w:eastAsia="es-AR"/>
        </w:rPr>
        <w:lastRenderedPageBreak/>
        <w:t xml:space="preserve">persiste en la región, </w:t>
      </w:r>
      <w:r w:rsidR="00C84005">
        <w:rPr>
          <w:rFonts w:asciiTheme="minorHAnsi" w:hAnsiTheme="minorHAnsi"/>
          <w:sz w:val="22"/>
          <w:szCs w:val="22"/>
          <w:lang w:val="es-AR" w:eastAsia="es-AR"/>
        </w:rPr>
        <w:t xml:space="preserve">aunque </w:t>
      </w:r>
      <w:r w:rsidR="00C84005" w:rsidRPr="00A83AC1">
        <w:rPr>
          <w:rFonts w:asciiTheme="minorHAnsi" w:hAnsiTheme="minorHAnsi"/>
          <w:sz w:val="22"/>
          <w:szCs w:val="22"/>
          <w:lang w:val="es-AR" w:eastAsia="es-AR"/>
        </w:rPr>
        <w:t xml:space="preserve">la fecundidad </w:t>
      </w:r>
      <w:r w:rsidR="00C84005">
        <w:rPr>
          <w:rFonts w:asciiTheme="minorHAnsi" w:hAnsiTheme="minorHAnsi"/>
          <w:sz w:val="22"/>
          <w:szCs w:val="22"/>
          <w:lang w:val="es-AR" w:eastAsia="es-AR"/>
        </w:rPr>
        <w:t>femenina haya descendido</w:t>
      </w:r>
      <w:r w:rsidR="00C84005" w:rsidRPr="00A83AC1">
        <w:rPr>
          <w:rFonts w:asciiTheme="minorHAnsi" w:hAnsiTheme="minorHAnsi"/>
          <w:sz w:val="22"/>
          <w:szCs w:val="22"/>
          <w:lang w:val="es-AR" w:eastAsia="es-AR"/>
        </w:rPr>
        <w:t>.</w:t>
      </w:r>
      <w:r w:rsidR="00C84005">
        <w:rPr>
          <w:rStyle w:val="Refdenotaalpie"/>
          <w:rFonts w:asciiTheme="minorHAnsi" w:hAnsiTheme="minorHAnsi"/>
          <w:sz w:val="22"/>
          <w:szCs w:val="22"/>
          <w:lang w:val="es-AR" w:eastAsia="es-AR"/>
        </w:rPr>
        <w:footnoteReference w:id="5"/>
      </w:r>
      <w:r w:rsidR="00C84005" w:rsidRPr="00A83AC1">
        <w:rPr>
          <w:rFonts w:asciiTheme="minorHAnsi" w:hAnsiTheme="minorHAnsi"/>
          <w:sz w:val="22"/>
          <w:szCs w:val="22"/>
          <w:lang w:val="es-AR" w:eastAsia="es-AR"/>
        </w:rPr>
        <w:t xml:space="preserve"> </w:t>
      </w:r>
    </w:p>
    <w:p w:rsidR="00BF3B8B" w:rsidRPr="00A83AC1" w:rsidRDefault="004B0766" w:rsidP="00AA7C48">
      <w:pPr>
        <w:widowControl w:val="0"/>
        <w:spacing w:line="300" w:lineRule="auto"/>
        <w:ind w:firstLine="720"/>
        <w:contextualSpacing/>
        <w:jc w:val="both"/>
        <w:rPr>
          <w:rFonts w:asciiTheme="minorHAnsi" w:hAnsiTheme="minorHAnsi"/>
          <w:sz w:val="22"/>
          <w:szCs w:val="22"/>
          <w:lang w:val="es-AR" w:eastAsia="es-AR"/>
        </w:rPr>
      </w:pPr>
      <w:r>
        <w:rPr>
          <w:rFonts w:asciiTheme="minorHAnsi" w:hAnsiTheme="minorHAnsi"/>
          <w:sz w:val="22"/>
          <w:szCs w:val="22"/>
          <w:lang w:val="es-AR" w:eastAsia="es-AR"/>
        </w:rPr>
        <w:t>En efecto, el</w:t>
      </w:r>
      <w:r w:rsidR="00BF3B8B" w:rsidRPr="00917D43">
        <w:rPr>
          <w:rFonts w:asciiTheme="minorHAnsi" w:hAnsiTheme="minorHAnsi"/>
          <w:sz w:val="22"/>
          <w:szCs w:val="22"/>
          <w:lang w:val="es-AR" w:eastAsia="es-AR"/>
        </w:rPr>
        <w:t xml:space="preserve"> uso de anticonceptivos para evitar el embarazo no deseado es una medida de política pública</w:t>
      </w:r>
      <w:r w:rsidR="00BF3B8B">
        <w:rPr>
          <w:rFonts w:asciiTheme="minorHAnsi" w:hAnsiTheme="minorHAnsi"/>
          <w:sz w:val="22"/>
          <w:szCs w:val="22"/>
          <w:lang w:val="es-AR" w:eastAsia="es-AR"/>
        </w:rPr>
        <w:t xml:space="preserve"> básica ya que existe </w:t>
      </w:r>
      <w:r w:rsidR="00BF3B8B" w:rsidRPr="00917D43">
        <w:rPr>
          <w:rFonts w:asciiTheme="minorHAnsi" w:hAnsiTheme="minorHAnsi"/>
          <w:sz w:val="22"/>
          <w:szCs w:val="22"/>
          <w:lang w:val="es-AR" w:eastAsia="es-AR"/>
        </w:rPr>
        <w:t>una gran variabilidad en el uso de algún método anticonceptivo entre mujeres de 15 a 19 años</w:t>
      </w:r>
      <w:r w:rsidR="00BF3B8B">
        <w:rPr>
          <w:rFonts w:asciiTheme="minorHAnsi" w:hAnsiTheme="minorHAnsi"/>
          <w:sz w:val="22"/>
          <w:szCs w:val="22"/>
          <w:lang w:val="es-AR" w:eastAsia="es-AR"/>
        </w:rPr>
        <w:t xml:space="preserve"> entre países</w:t>
      </w:r>
      <w:r w:rsidR="00BF3B8B" w:rsidRPr="00917D43">
        <w:rPr>
          <w:rFonts w:asciiTheme="minorHAnsi" w:hAnsiTheme="minorHAnsi"/>
          <w:sz w:val="22"/>
          <w:szCs w:val="22"/>
          <w:lang w:val="es-AR" w:eastAsia="es-AR"/>
        </w:rPr>
        <w:t xml:space="preserve"> </w:t>
      </w:r>
      <w:r w:rsidR="00BF3B8B">
        <w:rPr>
          <w:rFonts w:asciiTheme="minorHAnsi" w:hAnsiTheme="minorHAnsi"/>
          <w:sz w:val="22"/>
          <w:szCs w:val="22"/>
          <w:lang w:val="es-AR" w:eastAsia="es-AR"/>
        </w:rPr>
        <w:t>(</w:t>
      </w:r>
      <w:r w:rsidR="00BF3B8B" w:rsidRPr="003A3822">
        <w:rPr>
          <w:rFonts w:asciiTheme="minorHAnsi" w:hAnsiTheme="minorHAnsi"/>
          <w:sz w:val="22"/>
          <w:szCs w:val="22"/>
          <w:lang w:val="es-AR" w:eastAsia="es-AR"/>
        </w:rPr>
        <w:t>Céspedes</w:t>
      </w:r>
      <w:r w:rsidR="00BF3B8B">
        <w:rPr>
          <w:rFonts w:asciiTheme="minorHAnsi" w:hAnsiTheme="minorHAnsi"/>
          <w:sz w:val="22"/>
          <w:szCs w:val="22"/>
          <w:lang w:val="es-AR" w:eastAsia="es-AR"/>
        </w:rPr>
        <w:t xml:space="preserve"> y </w:t>
      </w:r>
      <w:r w:rsidR="00BF3B8B" w:rsidRPr="003A3822">
        <w:rPr>
          <w:rFonts w:asciiTheme="minorHAnsi" w:hAnsiTheme="minorHAnsi"/>
          <w:sz w:val="22"/>
          <w:szCs w:val="22"/>
          <w:lang w:val="es-AR" w:eastAsia="es-AR"/>
        </w:rPr>
        <w:t>Robles</w:t>
      </w:r>
      <w:r w:rsidR="00BF3B8B">
        <w:rPr>
          <w:rFonts w:asciiTheme="minorHAnsi" w:hAnsiTheme="minorHAnsi"/>
          <w:sz w:val="22"/>
          <w:szCs w:val="22"/>
          <w:lang w:val="es-AR" w:eastAsia="es-AR"/>
        </w:rPr>
        <w:t>, 2016: 48-49).</w:t>
      </w:r>
      <w:r w:rsidR="00BF3B8B" w:rsidRPr="00B649D1">
        <w:rPr>
          <w:rFonts w:asciiTheme="minorHAnsi" w:hAnsiTheme="minorHAnsi"/>
          <w:sz w:val="22"/>
          <w:szCs w:val="22"/>
          <w:lang w:val="es-AR" w:eastAsia="es-AR"/>
        </w:rPr>
        <w:t xml:space="preserve"> Sucede que </w:t>
      </w:r>
      <w:r w:rsidR="00BF3B8B">
        <w:rPr>
          <w:rFonts w:asciiTheme="minorHAnsi" w:hAnsiTheme="minorHAnsi"/>
          <w:sz w:val="22"/>
          <w:szCs w:val="22"/>
          <w:lang w:val="es-AR" w:eastAsia="es-AR"/>
        </w:rPr>
        <w:t>u</w:t>
      </w:r>
      <w:r w:rsidR="00BF3B8B" w:rsidRPr="00917D43">
        <w:rPr>
          <w:rFonts w:asciiTheme="minorHAnsi" w:hAnsiTheme="minorHAnsi"/>
          <w:sz w:val="22"/>
          <w:szCs w:val="22"/>
          <w:lang w:val="es-AR" w:eastAsia="es-AR"/>
        </w:rPr>
        <w:t xml:space="preserve">n factor </w:t>
      </w:r>
      <w:r w:rsidR="00BF3B8B">
        <w:rPr>
          <w:rFonts w:asciiTheme="minorHAnsi" w:hAnsiTheme="minorHAnsi"/>
          <w:sz w:val="22"/>
          <w:szCs w:val="22"/>
          <w:lang w:val="es-AR" w:eastAsia="es-AR"/>
        </w:rPr>
        <w:t>relevante</w:t>
      </w:r>
      <w:r w:rsidR="00BF3B8B" w:rsidRPr="00917D43">
        <w:rPr>
          <w:rFonts w:asciiTheme="minorHAnsi" w:hAnsiTheme="minorHAnsi"/>
          <w:sz w:val="22"/>
          <w:szCs w:val="22"/>
          <w:lang w:val="es-AR" w:eastAsia="es-AR"/>
        </w:rPr>
        <w:t xml:space="preserve"> en el acceso a servicios de salud sexual y reproductiva</w:t>
      </w:r>
      <w:r w:rsidR="00BF3B8B">
        <w:rPr>
          <w:rFonts w:asciiTheme="minorHAnsi" w:hAnsiTheme="minorHAnsi"/>
          <w:sz w:val="22"/>
          <w:szCs w:val="22"/>
          <w:lang w:val="es-AR" w:eastAsia="es-AR"/>
        </w:rPr>
        <w:t xml:space="preserve"> </w:t>
      </w:r>
      <w:r w:rsidR="00BF3B8B" w:rsidRPr="00917D43">
        <w:rPr>
          <w:rFonts w:asciiTheme="minorHAnsi" w:hAnsiTheme="minorHAnsi"/>
          <w:sz w:val="22"/>
          <w:szCs w:val="22"/>
          <w:lang w:val="es-AR" w:eastAsia="es-AR"/>
        </w:rPr>
        <w:t xml:space="preserve">entre las adolescentes </w:t>
      </w:r>
      <w:r w:rsidR="00042193">
        <w:rPr>
          <w:rFonts w:asciiTheme="minorHAnsi" w:hAnsiTheme="minorHAnsi"/>
          <w:sz w:val="22"/>
          <w:szCs w:val="22"/>
          <w:lang w:val="es-AR" w:eastAsia="es-AR"/>
        </w:rPr>
        <w:t>se relaciona con el</w:t>
      </w:r>
      <w:r w:rsidR="00BE2A0C">
        <w:rPr>
          <w:rFonts w:asciiTheme="minorHAnsi" w:hAnsiTheme="minorHAnsi"/>
          <w:sz w:val="22"/>
          <w:szCs w:val="22"/>
          <w:lang w:val="es-AR" w:eastAsia="es-AR"/>
        </w:rPr>
        <w:t xml:space="preserve"> requisito que se impone</w:t>
      </w:r>
      <w:r w:rsidR="00BF3B8B" w:rsidRPr="00917D43">
        <w:rPr>
          <w:rFonts w:asciiTheme="minorHAnsi" w:hAnsiTheme="minorHAnsi"/>
          <w:sz w:val="22"/>
          <w:szCs w:val="22"/>
          <w:lang w:val="es-AR" w:eastAsia="es-AR"/>
        </w:rPr>
        <w:t xml:space="preserve"> para su acceso</w:t>
      </w:r>
      <w:r w:rsidR="00BF3B8B">
        <w:rPr>
          <w:rFonts w:asciiTheme="minorHAnsi" w:hAnsiTheme="minorHAnsi"/>
          <w:sz w:val="22"/>
          <w:szCs w:val="22"/>
          <w:lang w:val="es-AR" w:eastAsia="es-AR"/>
        </w:rPr>
        <w:t>: m</w:t>
      </w:r>
      <w:r w:rsidR="00BF3B8B" w:rsidRPr="00917D43">
        <w:rPr>
          <w:rFonts w:asciiTheme="minorHAnsi" w:hAnsiTheme="minorHAnsi"/>
          <w:sz w:val="22"/>
          <w:szCs w:val="22"/>
          <w:lang w:val="es-AR" w:eastAsia="es-AR"/>
        </w:rPr>
        <w:t>ientr</w:t>
      </w:r>
      <w:r w:rsidR="00BF3B8B">
        <w:rPr>
          <w:rFonts w:asciiTheme="minorHAnsi" w:hAnsiTheme="minorHAnsi"/>
          <w:sz w:val="22"/>
          <w:szCs w:val="22"/>
          <w:lang w:val="es-AR" w:eastAsia="es-AR"/>
        </w:rPr>
        <w:t xml:space="preserve">as países como Brasil </w:t>
      </w:r>
      <w:r w:rsidR="00BF3B8B" w:rsidRPr="00917D43">
        <w:rPr>
          <w:rFonts w:asciiTheme="minorHAnsi" w:hAnsiTheme="minorHAnsi"/>
          <w:sz w:val="22"/>
          <w:szCs w:val="22"/>
          <w:lang w:val="es-AR" w:eastAsia="es-AR"/>
        </w:rPr>
        <w:t xml:space="preserve">y Uruguay consagran la autonomía de las adolescentes para acceder a estos servicios, Argentina, Chile, Perú y la República Bolivariana de Venezuela indican en sus reglamentaciones la necesidad de que las y los adolescentes cuenten con el consentimiento de sus padres o tutores legales para acceder a éstos </w:t>
      </w:r>
      <w:r w:rsidR="00BF3B8B">
        <w:rPr>
          <w:rFonts w:asciiTheme="minorHAnsi" w:hAnsiTheme="minorHAnsi"/>
          <w:sz w:val="22"/>
          <w:szCs w:val="22"/>
          <w:lang w:val="es-AR" w:eastAsia="es-AR"/>
        </w:rPr>
        <w:t>(</w:t>
      </w:r>
      <w:r w:rsidR="00BF3B8B" w:rsidRPr="003A3822">
        <w:rPr>
          <w:rFonts w:asciiTheme="minorHAnsi" w:hAnsiTheme="minorHAnsi"/>
          <w:sz w:val="22"/>
          <w:szCs w:val="22"/>
          <w:lang w:val="es-AR" w:eastAsia="es-AR"/>
        </w:rPr>
        <w:t>Céspedes</w:t>
      </w:r>
      <w:r w:rsidR="00BF3B8B">
        <w:rPr>
          <w:rFonts w:asciiTheme="minorHAnsi" w:hAnsiTheme="minorHAnsi"/>
          <w:sz w:val="22"/>
          <w:szCs w:val="22"/>
          <w:lang w:val="es-AR" w:eastAsia="es-AR"/>
        </w:rPr>
        <w:t xml:space="preserve"> y </w:t>
      </w:r>
      <w:r w:rsidR="00BF3B8B" w:rsidRPr="003A3822">
        <w:rPr>
          <w:rFonts w:asciiTheme="minorHAnsi" w:hAnsiTheme="minorHAnsi"/>
          <w:sz w:val="22"/>
          <w:szCs w:val="22"/>
          <w:lang w:val="es-AR" w:eastAsia="es-AR"/>
        </w:rPr>
        <w:t>Robles</w:t>
      </w:r>
      <w:r w:rsidR="00BF3B8B">
        <w:rPr>
          <w:rFonts w:asciiTheme="minorHAnsi" w:hAnsiTheme="minorHAnsi"/>
          <w:sz w:val="22"/>
          <w:szCs w:val="22"/>
          <w:lang w:val="es-AR" w:eastAsia="es-AR"/>
        </w:rPr>
        <w:t>, 2016: 50</w:t>
      </w:r>
      <w:r w:rsidR="00BF3B8B" w:rsidRPr="00917D43">
        <w:rPr>
          <w:rFonts w:asciiTheme="minorHAnsi" w:hAnsiTheme="minorHAnsi"/>
          <w:sz w:val="22"/>
          <w:szCs w:val="22"/>
          <w:lang w:val="es-AR" w:eastAsia="es-AR"/>
        </w:rPr>
        <w:t>).</w:t>
      </w:r>
      <w:r w:rsidR="00BF3B8B">
        <w:rPr>
          <w:rFonts w:asciiTheme="minorHAnsi" w:hAnsiTheme="minorHAnsi"/>
          <w:sz w:val="22"/>
          <w:szCs w:val="22"/>
          <w:lang w:val="es-AR" w:eastAsia="es-AR"/>
        </w:rPr>
        <w:t xml:space="preserve"> </w:t>
      </w:r>
    </w:p>
    <w:p w:rsidR="007D0EA1" w:rsidRDefault="004B0766" w:rsidP="00585778">
      <w:pPr>
        <w:widowControl w:val="0"/>
        <w:spacing w:line="300" w:lineRule="auto"/>
        <w:ind w:firstLine="720"/>
        <w:contextualSpacing/>
        <w:jc w:val="both"/>
        <w:rPr>
          <w:rFonts w:asciiTheme="minorHAnsi" w:hAnsiTheme="minorHAnsi"/>
          <w:sz w:val="22"/>
          <w:szCs w:val="22"/>
          <w:lang w:val="es-AR" w:eastAsia="es-AR"/>
        </w:rPr>
      </w:pPr>
      <w:r>
        <w:rPr>
          <w:rFonts w:asciiTheme="minorHAnsi" w:hAnsiTheme="minorHAnsi"/>
          <w:sz w:val="22"/>
          <w:szCs w:val="22"/>
          <w:lang w:val="es-AR" w:eastAsia="es-AR"/>
        </w:rPr>
        <w:t xml:space="preserve">Por otra parte, hay </w:t>
      </w:r>
      <w:r w:rsidR="006F0C28">
        <w:rPr>
          <w:rFonts w:asciiTheme="minorHAnsi" w:hAnsiTheme="minorHAnsi"/>
          <w:sz w:val="22"/>
          <w:szCs w:val="22"/>
          <w:lang w:val="es-AR" w:eastAsia="es-AR"/>
        </w:rPr>
        <w:t>l</w:t>
      </w:r>
      <w:r w:rsidR="006F0C28" w:rsidRPr="006F0C28">
        <w:rPr>
          <w:rFonts w:asciiTheme="minorHAnsi" w:hAnsiTheme="minorHAnsi"/>
          <w:sz w:val="22"/>
          <w:szCs w:val="22"/>
          <w:lang w:val="es-AR" w:eastAsia="es-AR"/>
        </w:rPr>
        <w:t xml:space="preserve">eyes </w:t>
      </w:r>
      <w:r w:rsidR="00042193">
        <w:rPr>
          <w:rFonts w:asciiTheme="minorHAnsi" w:hAnsiTheme="minorHAnsi"/>
          <w:sz w:val="22"/>
          <w:szCs w:val="22"/>
          <w:lang w:val="es-AR" w:eastAsia="es-AR"/>
        </w:rPr>
        <w:t>que adoptan medidas más directas</w:t>
      </w:r>
      <w:r>
        <w:rPr>
          <w:rFonts w:asciiTheme="minorHAnsi" w:hAnsiTheme="minorHAnsi"/>
          <w:sz w:val="22"/>
          <w:szCs w:val="22"/>
          <w:lang w:val="es-AR" w:eastAsia="es-AR"/>
        </w:rPr>
        <w:t>. Es el caso del Estado Plurinacional de Bolivia que mediante la</w:t>
      </w:r>
      <w:r w:rsidR="00E71BB3">
        <w:rPr>
          <w:rFonts w:asciiTheme="minorHAnsi" w:hAnsiTheme="minorHAnsi"/>
          <w:sz w:val="22"/>
          <w:szCs w:val="22"/>
          <w:lang w:val="es-AR" w:eastAsia="es-AR"/>
        </w:rPr>
        <w:t xml:space="preserve"> </w:t>
      </w:r>
      <w:r w:rsidR="00E71BB3" w:rsidRPr="00E71BB3">
        <w:rPr>
          <w:rFonts w:asciiTheme="minorHAnsi" w:hAnsiTheme="minorHAnsi"/>
          <w:sz w:val="22"/>
          <w:szCs w:val="22"/>
          <w:lang w:val="es-AR" w:eastAsia="es-AR"/>
        </w:rPr>
        <w:t>Resolución Ministerial 426</w:t>
      </w:r>
      <w:r w:rsidR="00E71BB3">
        <w:rPr>
          <w:rFonts w:asciiTheme="minorHAnsi" w:hAnsiTheme="minorHAnsi"/>
          <w:sz w:val="22"/>
          <w:szCs w:val="22"/>
          <w:lang w:val="es-AR" w:eastAsia="es-AR"/>
        </w:rPr>
        <w:t xml:space="preserve"> de 2009 </w:t>
      </w:r>
      <w:r w:rsidR="006F0C28">
        <w:rPr>
          <w:rFonts w:asciiTheme="minorHAnsi" w:hAnsiTheme="minorHAnsi"/>
          <w:sz w:val="22"/>
          <w:szCs w:val="22"/>
          <w:lang w:val="es-AR" w:eastAsia="es-AR"/>
        </w:rPr>
        <w:t>prevé la inclusión del</w:t>
      </w:r>
      <w:r w:rsidR="00E71BB3" w:rsidRPr="00E71BB3">
        <w:rPr>
          <w:rFonts w:asciiTheme="minorHAnsi" w:hAnsiTheme="minorHAnsi"/>
          <w:sz w:val="22"/>
          <w:szCs w:val="22"/>
          <w:lang w:val="es-AR" w:eastAsia="es-AR"/>
        </w:rPr>
        <w:t xml:space="preserve"> </w:t>
      </w:r>
      <w:proofErr w:type="spellStart"/>
      <w:r w:rsidR="00E71BB3" w:rsidRPr="00E71BB3">
        <w:rPr>
          <w:rFonts w:asciiTheme="minorHAnsi" w:hAnsiTheme="minorHAnsi"/>
          <w:sz w:val="22"/>
          <w:szCs w:val="22"/>
          <w:lang w:val="es-AR" w:eastAsia="es-AR"/>
        </w:rPr>
        <w:t>misoprostol</w:t>
      </w:r>
      <w:proofErr w:type="spellEnd"/>
      <w:r w:rsidR="00E71BB3" w:rsidRPr="00E71BB3">
        <w:rPr>
          <w:rFonts w:asciiTheme="minorHAnsi" w:hAnsiTheme="minorHAnsi"/>
          <w:sz w:val="22"/>
          <w:szCs w:val="22"/>
          <w:lang w:val="es-AR" w:eastAsia="es-AR"/>
        </w:rPr>
        <w:t xml:space="preserve"> en la lista de medicamentos para que </w:t>
      </w:r>
      <w:r w:rsidR="003A3822">
        <w:rPr>
          <w:rFonts w:asciiTheme="minorHAnsi" w:hAnsiTheme="minorHAnsi"/>
          <w:sz w:val="22"/>
          <w:szCs w:val="22"/>
          <w:lang w:val="es-AR" w:eastAsia="es-AR"/>
        </w:rPr>
        <w:t>la población femenina</w:t>
      </w:r>
      <w:r w:rsidR="00E71BB3" w:rsidRPr="00E71BB3">
        <w:rPr>
          <w:rFonts w:asciiTheme="minorHAnsi" w:hAnsiTheme="minorHAnsi"/>
          <w:sz w:val="22"/>
          <w:szCs w:val="22"/>
          <w:lang w:val="es-AR" w:eastAsia="es-AR"/>
        </w:rPr>
        <w:t xml:space="preserve"> cuente con </w:t>
      </w:r>
      <w:r w:rsidR="00A51CA8" w:rsidRPr="00E71BB3">
        <w:rPr>
          <w:rFonts w:asciiTheme="minorHAnsi" w:hAnsiTheme="minorHAnsi"/>
          <w:sz w:val="22"/>
          <w:szCs w:val="22"/>
          <w:lang w:val="es-AR" w:eastAsia="es-AR"/>
        </w:rPr>
        <w:t>medicina</w:t>
      </w:r>
      <w:r w:rsidR="00E71BB3" w:rsidRPr="00E71BB3">
        <w:rPr>
          <w:rFonts w:asciiTheme="minorHAnsi" w:hAnsiTheme="minorHAnsi"/>
          <w:sz w:val="22"/>
          <w:szCs w:val="22"/>
          <w:lang w:val="es-AR" w:eastAsia="es-AR"/>
        </w:rPr>
        <w:t xml:space="preserve"> gratuit</w:t>
      </w:r>
      <w:r w:rsidR="00A51CA8">
        <w:rPr>
          <w:rFonts w:asciiTheme="minorHAnsi" w:hAnsiTheme="minorHAnsi"/>
          <w:sz w:val="22"/>
          <w:szCs w:val="22"/>
          <w:lang w:val="es-AR" w:eastAsia="es-AR"/>
        </w:rPr>
        <w:t>a</w:t>
      </w:r>
      <w:r w:rsidR="00E71BB3" w:rsidRPr="00E71BB3">
        <w:rPr>
          <w:rFonts w:asciiTheme="minorHAnsi" w:hAnsiTheme="minorHAnsi"/>
          <w:sz w:val="22"/>
          <w:szCs w:val="22"/>
          <w:lang w:val="es-AR" w:eastAsia="es-AR"/>
        </w:rPr>
        <w:t xml:space="preserve"> en </w:t>
      </w:r>
      <w:r w:rsidR="00A51CA8">
        <w:rPr>
          <w:rFonts w:asciiTheme="minorHAnsi" w:hAnsiTheme="minorHAnsi"/>
          <w:sz w:val="22"/>
          <w:szCs w:val="22"/>
          <w:lang w:val="es-AR" w:eastAsia="es-AR"/>
        </w:rPr>
        <w:t xml:space="preserve">la </w:t>
      </w:r>
      <w:r w:rsidR="00E71BB3" w:rsidRPr="00E71BB3">
        <w:rPr>
          <w:rFonts w:asciiTheme="minorHAnsi" w:hAnsiTheme="minorHAnsi"/>
          <w:sz w:val="22"/>
          <w:szCs w:val="22"/>
          <w:lang w:val="es-AR" w:eastAsia="es-AR"/>
        </w:rPr>
        <w:t>atención del embarazo y parto</w:t>
      </w:r>
      <w:r w:rsidR="0057526A">
        <w:rPr>
          <w:rFonts w:asciiTheme="minorHAnsi" w:hAnsiTheme="minorHAnsi"/>
          <w:sz w:val="22"/>
          <w:szCs w:val="22"/>
          <w:lang w:val="es-AR" w:eastAsia="es-AR"/>
        </w:rPr>
        <w:t>,</w:t>
      </w:r>
      <w:r w:rsidR="00E71BB3" w:rsidRPr="00E71BB3">
        <w:rPr>
          <w:rFonts w:asciiTheme="minorHAnsi" w:hAnsiTheme="minorHAnsi"/>
          <w:sz w:val="22"/>
          <w:szCs w:val="22"/>
          <w:lang w:val="es-AR" w:eastAsia="es-AR"/>
        </w:rPr>
        <w:t xml:space="preserve"> a través del Seguro Universal Materno Infantil (SUMI)</w:t>
      </w:r>
      <w:r w:rsidR="0057526A">
        <w:rPr>
          <w:rFonts w:asciiTheme="minorHAnsi" w:hAnsiTheme="minorHAnsi"/>
          <w:sz w:val="22"/>
          <w:szCs w:val="22"/>
          <w:lang w:val="es-AR" w:eastAsia="es-AR"/>
        </w:rPr>
        <w:t xml:space="preserve"> aunque </w:t>
      </w:r>
      <w:r w:rsidR="00A51CA8">
        <w:rPr>
          <w:rFonts w:asciiTheme="minorHAnsi" w:hAnsiTheme="minorHAnsi"/>
          <w:sz w:val="22"/>
          <w:szCs w:val="22"/>
          <w:lang w:val="es-AR" w:eastAsia="es-AR"/>
        </w:rPr>
        <w:t xml:space="preserve">todavía </w:t>
      </w:r>
      <w:r w:rsidR="0057526A">
        <w:rPr>
          <w:rFonts w:asciiTheme="minorHAnsi" w:hAnsiTheme="minorHAnsi"/>
          <w:sz w:val="22"/>
          <w:szCs w:val="22"/>
          <w:lang w:val="es-AR" w:eastAsia="es-AR"/>
        </w:rPr>
        <w:t>el porcentaje de mujeres adolescentes de 15-19 años que son madres alcanzó en ese país el 13% en 2012</w:t>
      </w:r>
      <w:r w:rsidR="00E21BC9">
        <w:rPr>
          <w:rFonts w:asciiTheme="minorHAnsi" w:hAnsiTheme="minorHAnsi"/>
          <w:sz w:val="22"/>
          <w:szCs w:val="22"/>
          <w:lang w:val="es-AR" w:eastAsia="es-AR"/>
        </w:rPr>
        <w:t xml:space="preserve"> (cuadro 2)</w:t>
      </w:r>
      <w:r w:rsidR="00E71BB3" w:rsidRPr="00E71BB3">
        <w:rPr>
          <w:rFonts w:asciiTheme="minorHAnsi" w:hAnsiTheme="minorHAnsi"/>
          <w:sz w:val="22"/>
          <w:szCs w:val="22"/>
          <w:lang w:val="es-AR" w:eastAsia="es-AR"/>
        </w:rPr>
        <w:t>.</w:t>
      </w:r>
    </w:p>
    <w:p w:rsidR="00D07D45" w:rsidRDefault="00D07D45" w:rsidP="00D07D45">
      <w:pPr>
        <w:pStyle w:val="31Subttulo1"/>
        <w:numPr>
          <w:ilvl w:val="0"/>
          <w:numId w:val="0"/>
        </w:numPr>
        <w:spacing w:before="0" w:after="0" w:line="240" w:lineRule="auto"/>
        <w:rPr>
          <w:rFonts w:asciiTheme="minorHAnsi" w:hAnsiTheme="minorHAnsi"/>
          <w:b w:val="0"/>
          <w:i w:val="0"/>
          <w:sz w:val="22"/>
          <w:szCs w:val="22"/>
        </w:rPr>
      </w:pPr>
      <w:r w:rsidRPr="00D07D45">
        <w:rPr>
          <w:rFonts w:asciiTheme="minorHAnsi" w:hAnsiTheme="minorHAnsi"/>
          <w:b w:val="0"/>
          <w:i w:val="0"/>
          <w:sz w:val="22"/>
          <w:szCs w:val="22"/>
        </w:rPr>
        <w:t xml:space="preserve">Cuadro 2. Maternidad </w:t>
      </w:r>
      <w:r w:rsidR="00363DD8" w:rsidRPr="00D07D45">
        <w:rPr>
          <w:rFonts w:asciiTheme="minorHAnsi" w:hAnsiTheme="minorHAnsi"/>
          <w:b w:val="0"/>
          <w:i w:val="0"/>
          <w:sz w:val="22"/>
          <w:szCs w:val="22"/>
        </w:rPr>
        <w:t>adolescente</w:t>
      </w:r>
      <w:r w:rsidR="00363DD8">
        <w:rPr>
          <w:rFonts w:asciiTheme="minorHAnsi" w:hAnsiTheme="minorHAnsi"/>
          <w:b w:val="0"/>
          <w:i w:val="0"/>
          <w:sz w:val="22"/>
          <w:szCs w:val="22"/>
        </w:rPr>
        <w:t xml:space="preserve"> </w:t>
      </w:r>
      <w:r w:rsidR="00363DD8" w:rsidRPr="00D07D45">
        <w:rPr>
          <w:rFonts w:asciiTheme="minorHAnsi" w:hAnsiTheme="minorHAnsi"/>
          <w:b w:val="0"/>
          <w:i w:val="0"/>
          <w:sz w:val="22"/>
          <w:szCs w:val="22"/>
        </w:rPr>
        <w:t>y</w:t>
      </w:r>
      <w:r w:rsidRPr="00D07D45">
        <w:rPr>
          <w:rFonts w:asciiTheme="minorHAnsi" w:hAnsiTheme="minorHAnsi"/>
          <w:b w:val="0"/>
          <w:i w:val="0"/>
          <w:sz w:val="22"/>
          <w:szCs w:val="22"/>
        </w:rPr>
        <w:t xml:space="preserve"> demanda insatisfecha de planificación familiar</w:t>
      </w:r>
    </w:p>
    <w:p w:rsidR="00D07D45" w:rsidRPr="00D07D45" w:rsidRDefault="00BD7B1C" w:rsidP="00D07D45">
      <w:pPr>
        <w:pStyle w:val="31Subttulo1"/>
        <w:numPr>
          <w:ilvl w:val="0"/>
          <w:numId w:val="0"/>
        </w:numPr>
        <w:spacing w:before="0" w:after="0" w:line="240" w:lineRule="auto"/>
        <w:ind w:left="360"/>
        <w:jc w:val="both"/>
        <w:rPr>
          <w:sz w:val="16"/>
          <w:szCs w:val="16"/>
        </w:rPr>
      </w:pPr>
      <w:r w:rsidRPr="005836B9">
        <w:rPr>
          <w:noProof/>
          <w:szCs w:val="16"/>
        </w:rPr>
        <w:drawing>
          <wp:inline distT="0" distB="0" distL="0" distR="0">
            <wp:extent cx="3991610" cy="13519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1610" cy="1351915"/>
                    </a:xfrm>
                    <a:prstGeom prst="rect">
                      <a:avLst/>
                    </a:prstGeom>
                    <a:noFill/>
                    <a:ln>
                      <a:noFill/>
                    </a:ln>
                  </pic:spPr>
                </pic:pic>
              </a:graphicData>
            </a:graphic>
          </wp:inline>
        </w:drawing>
      </w:r>
    </w:p>
    <w:p w:rsidR="00D07D45" w:rsidRPr="00D07D45" w:rsidRDefault="00D07D45" w:rsidP="00D07D45">
      <w:pPr>
        <w:jc w:val="both"/>
        <w:rPr>
          <w:rFonts w:asciiTheme="minorHAnsi" w:hAnsiTheme="minorHAnsi"/>
          <w:sz w:val="16"/>
          <w:szCs w:val="16"/>
          <w:lang w:val="es-AR" w:eastAsia="es-AR"/>
        </w:rPr>
      </w:pPr>
      <w:r>
        <w:rPr>
          <w:rFonts w:asciiTheme="minorHAnsi" w:hAnsiTheme="minorHAnsi"/>
          <w:sz w:val="16"/>
          <w:szCs w:val="16"/>
          <w:lang w:val="es-AR" w:eastAsia="es-AR"/>
        </w:rPr>
        <w:t xml:space="preserve">               </w:t>
      </w:r>
      <w:r w:rsidRPr="00D07D45">
        <w:rPr>
          <w:rFonts w:asciiTheme="minorHAnsi" w:hAnsiTheme="minorHAnsi"/>
          <w:sz w:val="16"/>
          <w:szCs w:val="16"/>
          <w:lang w:val="es-AR" w:eastAsia="es-AR"/>
        </w:rPr>
        <w:t>Fuente: Observatorio de Igualdad de Género de América Latina y el Caribe, Cepal, UN.</w:t>
      </w:r>
    </w:p>
    <w:p w:rsidR="00D07D45" w:rsidRDefault="00D07D45" w:rsidP="00D07D45">
      <w:pPr>
        <w:jc w:val="both"/>
        <w:rPr>
          <w:rFonts w:asciiTheme="minorHAnsi" w:hAnsiTheme="minorHAnsi"/>
          <w:sz w:val="22"/>
          <w:szCs w:val="22"/>
          <w:lang w:val="es-AR" w:eastAsia="es-AR"/>
        </w:rPr>
      </w:pPr>
    </w:p>
    <w:p w:rsidR="00E71BB3" w:rsidRDefault="00A51CA8" w:rsidP="00585778">
      <w:pPr>
        <w:widowControl w:val="0"/>
        <w:spacing w:line="300" w:lineRule="auto"/>
        <w:ind w:firstLine="720"/>
        <w:contextualSpacing/>
        <w:jc w:val="both"/>
        <w:rPr>
          <w:rFonts w:asciiTheme="minorHAnsi" w:hAnsiTheme="minorHAnsi"/>
          <w:sz w:val="22"/>
          <w:szCs w:val="22"/>
          <w:lang w:val="es-AR" w:eastAsia="es-AR"/>
        </w:rPr>
      </w:pPr>
      <w:r w:rsidRPr="006A2839">
        <w:rPr>
          <w:rFonts w:asciiTheme="minorHAnsi" w:hAnsiTheme="minorHAnsi"/>
          <w:sz w:val="22"/>
          <w:szCs w:val="22"/>
          <w:lang w:val="es-AR" w:eastAsia="es-AR"/>
        </w:rPr>
        <w:t>E</w:t>
      </w:r>
      <w:r w:rsidR="007D0EA1" w:rsidRPr="006A2839">
        <w:rPr>
          <w:rFonts w:asciiTheme="minorHAnsi" w:hAnsiTheme="minorHAnsi"/>
          <w:sz w:val="22"/>
          <w:szCs w:val="22"/>
          <w:lang w:val="es-AR" w:eastAsia="es-AR"/>
        </w:rPr>
        <w:t xml:space="preserve">ntre los países </w:t>
      </w:r>
      <w:r w:rsidRPr="006A2839">
        <w:rPr>
          <w:rFonts w:asciiTheme="minorHAnsi" w:hAnsiTheme="minorHAnsi"/>
          <w:sz w:val="22"/>
          <w:szCs w:val="22"/>
          <w:lang w:val="es-AR" w:eastAsia="es-AR"/>
        </w:rPr>
        <w:t>en estudio</w:t>
      </w:r>
      <w:r w:rsidR="00237AA8" w:rsidRPr="006A2839">
        <w:rPr>
          <w:rFonts w:asciiTheme="minorHAnsi" w:hAnsiTheme="minorHAnsi"/>
          <w:sz w:val="22"/>
          <w:szCs w:val="22"/>
          <w:lang w:val="es-AR" w:eastAsia="es-AR"/>
        </w:rPr>
        <w:t xml:space="preserve"> la situación más avanza</w:t>
      </w:r>
      <w:r w:rsidR="00052AAB" w:rsidRPr="006A2839">
        <w:rPr>
          <w:rFonts w:asciiTheme="minorHAnsi" w:hAnsiTheme="minorHAnsi"/>
          <w:sz w:val="22"/>
          <w:szCs w:val="22"/>
          <w:lang w:val="es-AR" w:eastAsia="es-AR"/>
        </w:rPr>
        <w:t>da</w:t>
      </w:r>
      <w:r w:rsidR="00237AA8" w:rsidRPr="006A2839">
        <w:rPr>
          <w:rFonts w:asciiTheme="minorHAnsi" w:hAnsiTheme="minorHAnsi"/>
          <w:sz w:val="22"/>
          <w:szCs w:val="22"/>
          <w:lang w:val="es-AR" w:eastAsia="es-AR"/>
        </w:rPr>
        <w:t xml:space="preserve"> </w:t>
      </w:r>
      <w:r w:rsidR="007D0EA1" w:rsidRPr="006A2839">
        <w:rPr>
          <w:rFonts w:asciiTheme="minorHAnsi" w:hAnsiTheme="minorHAnsi"/>
          <w:sz w:val="22"/>
          <w:szCs w:val="22"/>
          <w:lang w:val="es-AR" w:eastAsia="es-AR"/>
        </w:rPr>
        <w:t xml:space="preserve">se </w:t>
      </w:r>
      <w:r w:rsidR="00C84005" w:rsidRPr="006A2839">
        <w:rPr>
          <w:rFonts w:asciiTheme="minorHAnsi" w:hAnsiTheme="minorHAnsi"/>
          <w:sz w:val="22"/>
          <w:szCs w:val="22"/>
          <w:lang w:val="es-AR" w:eastAsia="es-AR"/>
        </w:rPr>
        <w:t>da</w:t>
      </w:r>
      <w:r w:rsidR="007D0EA1" w:rsidRPr="006A2839">
        <w:rPr>
          <w:rFonts w:asciiTheme="minorHAnsi" w:hAnsiTheme="minorHAnsi"/>
          <w:sz w:val="22"/>
          <w:szCs w:val="22"/>
          <w:lang w:val="es-AR" w:eastAsia="es-AR"/>
        </w:rPr>
        <w:t xml:space="preserve"> en Uruguay donde se </w:t>
      </w:r>
      <w:r w:rsidR="00D07D45" w:rsidRPr="006A2839">
        <w:rPr>
          <w:rFonts w:asciiTheme="minorHAnsi" w:hAnsiTheme="minorHAnsi"/>
          <w:sz w:val="22"/>
          <w:szCs w:val="22"/>
          <w:lang w:val="es-AR" w:eastAsia="es-AR"/>
        </w:rPr>
        <w:t>sancionó</w:t>
      </w:r>
      <w:r w:rsidR="007D0EA1" w:rsidRPr="006A2839">
        <w:rPr>
          <w:rFonts w:asciiTheme="minorHAnsi" w:hAnsiTheme="minorHAnsi"/>
          <w:sz w:val="22"/>
          <w:szCs w:val="22"/>
          <w:lang w:val="es-AR" w:eastAsia="es-AR"/>
        </w:rPr>
        <w:t xml:space="preserve"> la </w:t>
      </w:r>
      <w:r w:rsidR="00D07D45" w:rsidRPr="006A2839">
        <w:rPr>
          <w:rFonts w:asciiTheme="minorHAnsi" w:hAnsiTheme="minorHAnsi"/>
          <w:sz w:val="22"/>
          <w:szCs w:val="22"/>
          <w:lang w:val="es-AR" w:eastAsia="es-AR"/>
        </w:rPr>
        <w:t>l</w:t>
      </w:r>
      <w:r w:rsidR="007D0EA1" w:rsidRPr="006A2839">
        <w:rPr>
          <w:rFonts w:asciiTheme="minorHAnsi" w:hAnsiTheme="minorHAnsi"/>
          <w:sz w:val="22"/>
          <w:szCs w:val="22"/>
          <w:lang w:val="es-AR" w:eastAsia="es-AR"/>
        </w:rPr>
        <w:t xml:space="preserve">ey 18.987 </w:t>
      </w:r>
      <w:r w:rsidR="00C84005" w:rsidRPr="006A2839">
        <w:rPr>
          <w:rFonts w:asciiTheme="minorHAnsi" w:hAnsiTheme="minorHAnsi"/>
          <w:sz w:val="22"/>
          <w:szCs w:val="22"/>
          <w:lang w:val="es-AR" w:eastAsia="es-AR"/>
        </w:rPr>
        <w:t>en el año</w:t>
      </w:r>
      <w:r w:rsidR="007D0EA1" w:rsidRPr="006A2839">
        <w:rPr>
          <w:rFonts w:asciiTheme="minorHAnsi" w:hAnsiTheme="minorHAnsi"/>
          <w:sz w:val="22"/>
          <w:szCs w:val="22"/>
          <w:lang w:val="es-AR" w:eastAsia="es-AR"/>
        </w:rPr>
        <w:t xml:space="preserve"> 2012</w:t>
      </w:r>
      <w:r w:rsidR="000D4E21">
        <w:rPr>
          <w:rFonts w:asciiTheme="minorHAnsi" w:hAnsiTheme="minorHAnsi"/>
          <w:sz w:val="22"/>
          <w:szCs w:val="22"/>
          <w:lang w:val="es-AR" w:eastAsia="es-AR"/>
        </w:rPr>
        <w:t>,</w:t>
      </w:r>
      <w:r w:rsidR="007D0EA1" w:rsidRPr="006A2839">
        <w:rPr>
          <w:rFonts w:asciiTheme="minorHAnsi" w:hAnsiTheme="minorHAnsi"/>
          <w:sz w:val="22"/>
          <w:szCs w:val="22"/>
          <w:lang w:val="es-AR" w:eastAsia="es-AR"/>
        </w:rPr>
        <w:t xml:space="preserve"> que no penaliza a ninguna mujer por la interrupción del embarazo cuando </w:t>
      </w:r>
      <w:r w:rsidR="00D07D45" w:rsidRPr="006A2839">
        <w:rPr>
          <w:rFonts w:asciiTheme="minorHAnsi" w:hAnsiTheme="minorHAnsi"/>
          <w:sz w:val="22"/>
          <w:szCs w:val="22"/>
          <w:lang w:val="es-AR" w:eastAsia="es-AR"/>
        </w:rPr>
        <w:t xml:space="preserve">la misma </w:t>
      </w:r>
      <w:r w:rsidR="007D0EA1" w:rsidRPr="006A2839">
        <w:rPr>
          <w:rFonts w:asciiTheme="minorHAnsi" w:hAnsiTheme="minorHAnsi"/>
          <w:sz w:val="22"/>
          <w:szCs w:val="22"/>
          <w:lang w:val="es-AR" w:eastAsia="es-AR"/>
        </w:rPr>
        <w:t>se reali</w:t>
      </w:r>
      <w:r w:rsidR="00D07D45" w:rsidRPr="006A2839">
        <w:rPr>
          <w:rFonts w:asciiTheme="minorHAnsi" w:hAnsiTheme="minorHAnsi"/>
          <w:sz w:val="22"/>
          <w:szCs w:val="22"/>
          <w:lang w:val="es-AR" w:eastAsia="es-AR"/>
        </w:rPr>
        <w:t xml:space="preserve">za </w:t>
      </w:r>
      <w:r w:rsidR="007D0EA1" w:rsidRPr="006A2839">
        <w:rPr>
          <w:rFonts w:asciiTheme="minorHAnsi" w:hAnsiTheme="minorHAnsi"/>
          <w:sz w:val="22"/>
          <w:szCs w:val="22"/>
          <w:lang w:val="es-AR" w:eastAsia="es-AR"/>
        </w:rPr>
        <w:t xml:space="preserve">durante las primeras </w:t>
      </w:r>
      <w:r w:rsidR="00E21BC9" w:rsidRPr="006A2839">
        <w:rPr>
          <w:rFonts w:asciiTheme="minorHAnsi" w:hAnsiTheme="minorHAnsi"/>
          <w:sz w:val="22"/>
          <w:szCs w:val="22"/>
          <w:lang w:val="es-AR" w:eastAsia="es-AR"/>
        </w:rPr>
        <w:t>doce</w:t>
      </w:r>
      <w:r w:rsidR="007D0EA1" w:rsidRPr="006A2839">
        <w:rPr>
          <w:rFonts w:asciiTheme="minorHAnsi" w:hAnsiTheme="minorHAnsi"/>
          <w:sz w:val="22"/>
          <w:szCs w:val="22"/>
          <w:lang w:val="es-AR" w:eastAsia="es-AR"/>
        </w:rPr>
        <w:t xml:space="preserve"> semanas de gravidez. Así</w:t>
      </w:r>
      <w:r w:rsidR="00772044" w:rsidRPr="006A2839">
        <w:rPr>
          <w:rFonts w:asciiTheme="minorHAnsi" w:hAnsiTheme="minorHAnsi"/>
          <w:sz w:val="22"/>
          <w:szCs w:val="22"/>
          <w:lang w:val="es-AR" w:eastAsia="es-AR"/>
        </w:rPr>
        <w:t>,</w:t>
      </w:r>
      <w:r w:rsidR="007D0EA1" w:rsidRPr="006A2839">
        <w:rPr>
          <w:rFonts w:asciiTheme="minorHAnsi" w:hAnsiTheme="minorHAnsi"/>
          <w:sz w:val="22"/>
          <w:szCs w:val="22"/>
          <w:lang w:val="es-AR" w:eastAsia="es-AR"/>
        </w:rPr>
        <w:t xml:space="preserve"> el Estado uruguayo garantiza el derecho a la procreación consciente y responsable, reconoce el valor social de la maternidad, tutela la vida humana y promueve el ejercicio pleno de los derechos sexuales y reproductivos de toda la</w:t>
      </w:r>
      <w:r w:rsidR="007D0EA1" w:rsidRPr="007D0EA1">
        <w:rPr>
          <w:rFonts w:asciiTheme="minorHAnsi" w:hAnsiTheme="minorHAnsi"/>
          <w:sz w:val="22"/>
          <w:szCs w:val="22"/>
          <w:lang w:val="es-AR" w:eastAsia="es-AR"/>
        </w:rPr>
        <w:t xml:space="preserve"> población</w:t>
      </w:r>
      <w:r w:rsidR="00C353A8">
        <w:rPr>
          <w:rFonts w:asciiTheme="minorHAnsi" w:hAnsiTheme="minorHAnsi"/>
          <w:sz w:val="22"/>
          <w:szCs w:val="22"/>
          <w:lang w:val="es-AR" w:eastAsia="es-AR"/>
        </w:rPr>
        <w:t xml:space="preserve"> de modo que</w:t>
      </w:r>
      <w:r w:rsidR="007D0EA1">
        <w:rPr>
          <w:rFonts w:asciiTheme="minorHAnsi" w:hAnsiTheme="minorHAnsi"/>
          <w:sz w:val="22"/>
          <w:szCs w:val="22"/>
          <w:lang w:val="es-AR" w:eastAsia="es-AR"/>
        </w:rPr>
        <w:t xml:space="preserve"> </w:t>
      </w:r>
      <w:r w:rsidR="0011172D">
        <w:rPr>
          <w:rFonts w:asciiTheme="minorHAnsi" w:hAnsiTheme="minorHAnsi"/>
          <w:sz w:val="22"/>
          <w:szCs w:val="22"/>
          <w:lang w:val="es-AR" w:eastAsia="es-AR"/>
        </w:rPr>
        <w:t>dicha ley</w:t>
      </w:r>
      <w:r w:rsidR="007D0EA1" w:rsidRPr="007D0EA1">
        <w:rPr>
          <w:rFonts w:asciiTheme="minorHAnsi" w:hAnsiTheme="minorHAnsi"/>
          <w:sz w:val="22"/>
          <w:szCs w:val="22"/>
          <w:lang w:val="es-AR" w:eastAsia="es-AR"/>
        </w:rPr>
        <w:t xml:space="preserve"> no constituye un instrumento de control de la natalidad</w:t>
      </w:r>
      <w:r w:rsidR="00927E97">
        <w:rPr>
          <w:rFonts w:asciiTheme="minorHAnsi" w:hAnsiTheme="minorHAnsi"/>
          <w:sz w:val="22"/>
          <w:szCs w:val="22"/>
          <w:lang w:val="es-AR" w:eastAsia="es-AR"/>
        </w:rPr>
        <w:t xml:space="preserve"> (cuadro 3)</w:t>
      </w:r>
      <w:r w:rsidR="007D0EA1" w:rsidRPr="007D0EA1">
        <w:rPr>
          <w:rFonts w:asciiTheme="minorHAnsi" w:hAnsiTheme="minorHAnsi"/>
          <w:sz w:val="22"/>
          <w:szCs w:val="22"/>
          <w:lang w:val="es-AR" w:eastAsia="es-AR"/>
        </w:rPr>
        <w:t>.</w:t>
      </w:r>
    </w:p>
    <w:p w:rsidR="00585778" w:rsidRDefault="00585778" w:rsidP="00585778">
      <w:pPr>
        <w:widowControl w:val="0"/>
        <w:spacing w:line="300" w:lineRule="auto"/>
        <w:ind w:firstLine="720"/>
        <w:contextualSpacing/>
        <w:jc w:val="both"/>
        <w:rPr>
          <w:rFonts w:asciiTheme="minorHAnsi" w:hAnsiTheme="minorHAnsi"/>
          <w:sz w:val="22"/>
          <w:szCs w:val="22"/>
          <w:lang w:val="es-AR" w:eastAsia="es-AR"/>
        </w:rPr>
      </w:pPr>
    </w:p>
    <w:p w:rsidR="00E72404" w:rsidRDefault="00E72404" w:rsidP="00585778">
      <w:pPr>
        <w:widowControl w:val="0"/>
        <w:spacing w:line="300" w:lineRule="auto"/>
        <w:ind w:firstLine="720"/>
        <w:contextualSpacing/>
        <w:jc w:val="both"/>
        <w:rPr>
          <w:rFonts w:asciiTheme="minorHAnsi" w:hAnsiTheme="minorHAnsi"/>
          <w:sz w:val="22"/>
          <w:szCs w:val="22"/>
          <w:lang w:val="es-AR" w:eastAsia="es-AR"/>
        </w:rPr>
      </w:pPr>
    </w:p>
    <w:p w:rsidR="00CE2A4E" w:rsidRDefault="00CE2A4E" w:rsidP="00585778">
      <w:pPr>
        <w:widowControl w:val="0"/>
        <w:spacing w:line="300" w:lineRule="auto"/>
        <w:ind w:firstLine="720"/>
        <w:contextualSpacing/>
        <w:jc w:val="both"/>
        <w:rPr>
          <w:rFonts w:asciiTheme="minorHAnsi" w:hAnsiTheme="minorHAnsi"/>
          <w:sz w:val="22"/>
          <w:szCs w:val="22"/>
          <w:lang w:val="es-AR" w:eastAsia="es-AR"/>
        </w:rPr>
      </w:pPr>
    </w:p>
    <w:p w:rsidR="00CE2A4E" w:rsidRDefault="00CE2A4E" w:rsidP="00585778">
      <w:pPr>
        <w:widowControl w:val="0"/>
        <w:spacing w:line="300" w:lineRule="auto"/>
        <w:ind w:firstLine="720"/>
        <w:contextualSpacing/>
        <w:jc w:val="both"/>
        <w:rPr>
          <w:rFonts w:asciiTheme="minorHAnsi" w:hAnsiTheme="minorHAnsi"/>
          <w:sz w:val="22"/>
          <w:szCs w:val="22"/>
          <w:lang w:val="es-AR" w:eastAsia="es-AR"/>
        </w:rPr>
      </w:pPr>
    </w:p>
    <w:p w:rsidR="00D07D45" w:rsidRDefault="00D07D45" w:rsidP="00D06B95">
      <w:pPr>
        <w:pStyle w:val="31Subttulo1"/>
        <w:numPr>
          <w:ilvl w:val="0"/>
          <w:numId w:val="0"/>
        </w:numPr>
        <w:spacing w:before="0" w:after="0" w:line="240" w:lineRule="auto"/>
        <w:jc w:val="both"/>
        <w:rPr>
          <w:rFonts w:asciiTheme="minorHAnsi" w:hAnsiTheme="minorHAnsi"/>
          <w:b w:val="0"/>
          <w:i w:val="0"/>
          <w:sz w:val="22"/>
          <w:szCs w:val="22"/>
        </w:rPr>
      </w:pPr>
      <w:r w:rsidRPr="00D06B95">
        <w:rPr>
          <w:rFonts w:asciiTheme="minorHAnsi" w:hAnsiTheme="minorHAnsi"/>
          <w:b w:val="0"/>
          <w:i w:val="0"/>
          <w:sz w:val="22"/>
          <w:szCs w:val="22"/>
        </w:rPr>
        <w:lastRenderedPageBreak/>
        <w:t xml:space="preserve">Cuadro </w:t>
      </w:r>
      <w:r w:rsidR="00E21BC9">
        <w:rPr>
          <w:rFonts w:asciiTheme="minorHAnsi" w:hAnsiTheme="minorHAnsi"/>
          <w:b w:val="0"/>
          <w:i w:val="0"/>
          <w:sz w:val="22"/>
          <w:szCs w:val="22"/>
        </w:rPr>
        <w:t>3</w:t>
      </w:r>
      <w:r w:rsidRPr="00D06B95">
        <w:rPr>
          <w:rFonts w:asciiTheme="minorHAnsi" w:hAnsiTheme="minorHAnsi"/>
          <w:b w:val="0"/>
          <w:i w:val="0"/>
          <w:sz w:val="22"/>
          <w:szCs w:val="22"/>
        </w:rPr>
        <w:t>. Condiciones legales de las mujeres en materia de derecho reproductivo: leyes sobre aborto. Países miembros del Mercosur, distintos años</w:t>
      </w:r>
    </w:p>
    <w:p w:rsidR="004C39CC" w:rsidRPr="00D06B95" w:rsidRDefault="00CD0893" w:rsidP="00D06B95">
      <w:pPr>
        <w:pStyle w:val="31Subttulo1"/>
        <w:numPr>
          <w:ilvl w:val="0"/>
          <w:numId w:val="0"/>
        </w:numPr>
        <w:spacing w:before="0" w:after="0" w:line="240" w:lineRule="auto"/>
        <w:jc w:val="both"/>
        <w:rPr>
          <w:rFonts w:asciiTheme="minorHAnsi" w:hAnsiTheme="minorHAnsi"/>
          <w:b w:val="0"/>
          <w:i w:val="0"/>
          <w:sz w:val="22"/>
          <w:szCs w:val="22"/>
        </w:rPr>
      </w:pPr>
      <w:r w:rsidRPr="00CD0893">
        <w:rPr>
          <w:noProof/>
        </w:rPr>
        <w:drawing>
          <wp:inline distT="0" distB="0" distL="0" distR="0">
            <wp:extent cx="6320790" cy="7774926"/>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310" cy="7779256"/>
                    </a:xfrm>
                    <a:prstGeom prst="rect">
                      <a:avLst/>
                    </a:prstGeom>
                    <a:noFill/>
                    <a:ln>
                      <a:noFill/>
                    </a:ln>
                  </pic:spPr>
                </pic:pic>
              </a:graphicData>
            </a:graphic>
          </wp:inline>
        </w:drawing>
      </w:r>
    </w:p>
    <w:p w:rsidR="00D07D45" w:rsidRPr="005F7EAF" w:rsidRDefault="00D07D45" w:rsidP="003334FD">
      <w:pPr>
        <w:spacing w:line="360" w:lineRule="auto"/>
        <w:jc w:val="both"/>
        <w:rPr>
          <w:rFonts w:asciiTheme="minorHAnsi" w:hAnsiTheme="minorHAnsi"/>
          <w:sz w:val="16"/>
          <w:szCs w:val="16"/>
          <w:lang w:val="es-AR" w:eastAsia="es-AR"/>
        </w:rPr>
      </w:pPr>
      <w:r w:rsidRPr="005F7EAF">
        <w:rPr>
          <w:rFonts w:asciiTheme="minorHAnsi" w:hAnsiTheme="minorHAnsi"/>
          <w:sz w:val="16"/>
          <w:szCs w:val="16"/>
          <w:lang w:val="es-AR" w:eastAsia="es-AR"/>
        </w:rPr>
        <w:t>Fuente: Observatorio de Igualdad de Género de América Latina y el Caribe, Cepal, UN.</w:t>
      </w:r>
    </w:p>
    <w:p w:rsidR="00367D90" w:rsidRPr="00DD3529" w:rsidRDefault="00367D90" w:rsidP="00367D90">
      <w:pPr>
        <w:widowControl w:val="0"/>
        <w:spacing w:line="300" w:lineRule="auto"/>
        <w:ind w:firstLine="720"/>
        <w:contextualSpacing/>
        <w:jc w:val="both"/>
        <w:rPr>
          <w:rFonts w:asciiTheme="minorHAnsi" w:hAnsiTheme="minorHAnsi"/>
          <w:sz w:val="22"/>
          <w:szCs w:val="22"/>
          <w:lang w:val="es-AR" w:eastAsia="es-AR"/>
        </w:rPr>
      </w:pPr>
      <w:r>
        <w:rPr>
          <w:rFonts w:asciiTheme="minorHAnsi" w:hAnsiTheme="minorHAnsi"/>
          <w:sz w:val="22"/>
          <w:szCs w:val="22"/>
          <w:lang w:val="es-AR" w:eastAsia="es-AR"/>
        </w:rPr>
        <w:lastRenderedPageBreak/>
        <w:t xml:space="preserve">Otro de los indicadores que </w:t>
      </w:r>
      <w:r w:rsidRPr="00C84005">
        <w:rPr>
          <w:rFonts w:asciiTheme="minorHAnsi" w:hAnsiTheme="minorHAnsi"/>
          <w:sz w:val="22"/>
          <w:szCs w:val="22"/>
          <w:lang w:val="es-AR" w:eastAsia="es-AR"/>
        </w:rPr>
        <w:t>reflejan la situaci</w:t>
      </w:r>
      <w:r>
        <w:rPr>
          <w:rFonts w:asciiTheme="minorHAnsi" w:hAnsiTheme="minorHAnsi"/>
          <w:sz w:val="22"/>
          <w:szCs w:val="22"/>
          <w:lang w:val="es-AR" w:eastAsia="es-AR"/>
        </w:rPr>
        <w:t xml:space="preserve">ón de los derechos sexuales y reproductivos de </w:t>
      </w:r>
      <w:r w:rsidRPr="00C84005">
        <w:rPr>
          <w:rFonts w:asciiTheme="minorHAnsi" w:hAnsiTheme="minorHAnsi"/>
          <w:sz w:val="22"/>
          <w:szCs w:val="22"/>
          <w:lang w:val="es-AR" w:eastAsia="es-AR"/>
        </w:rPr>
        <w:t xml:space="preserve">las mujeres </w:t>
      </w:r>
      <w:r>
        <w:rPr>
          <w:rFonts w:asciiTheme="minorHAnsi" w:hAnsiTheme="minorHAnsi"/>
          <w:sz w:val="22"/>
          <w:szCs w:val="22"/>
          <w:lang w:val="es-AR" w:eastAsia="es-AR"/>
        </w:rPr>
        <w:t xml:space="preserve">es el </w:t>
      </w:r>
      <w:r w:rsidRPr="00C84005">
        <w:rPr>
          <w:rFonts w:asciiTheme="minorHAnsi" w:hAnsiTheme="minorHAnsi"/>
          <w:sz w:val="22"/>
          <w:szCs w:val="22"/>
          <w:lang w:val="es-AR" w:eastAsia="es-AR"/>
        </w:rPr>
        <w:t>p</w:t>
      </w:r>
      <w:r w:rsidRPr="00A83AC1">
        <w:rPr>
          <w:rFonts w:asciiTheme="minorHAnsi" w:hAnsiTheme="minorHAnsi"/>
          <w:sz w:val="22"/>
          <w:szCs w:val="22"/>
          <w:lang w:val="es-AR" w:eastAsia="es-AR"/>
        </w:rPr>
        <w:t xml:space="preserve">orcentaje de mujeres </w:t>
      </w:r>
      <w:r>
        <w:rPr>
          <w:rFonts w:asciiTheme="minorHAnsi" w:hAnsiTheme="minorHAnsi"/>
          <w:sz w:val="22"/>
          <w:szCs w:val="22"/>
          <w:lang w:val="es-AR" w:eastAsia="es-AR"/>
        </w:rPr>
        <w:t xml:space="preserve">en edad reproductiva, </w:t>
      </w:r>
      <w:r w:rsidRPr="00A83AC1">
        <w:rPr>
          <w:rFonts w:asciiTheme="minorHAnsi" w:hAnsiTheme="minorHAnsi"/>
          <w:sz w:val="22"/>
          <w:szCs w:val="22"/>
          <w:lang w:val="es-AR" w:eastAsia="es-AR"/>
        </w:rPr>
        <w:t>activas sexualmente</w:t>
      </w:r>
      <w:r>
        <w:rPr>
          <w:rFonts w:asciiTheme="minorHAnsi" w:hAnsiTheme="minorHAnsi"/>
          <w:sz w:val="22"/>
          <w:szCs w:val="22"/>
          <w:lang w:val="es-AR" w:eastAsia="es-AR"/>
        </w:rPr>
        <w:t xml:space="preserve"> y </w:t>
      </w:r>
      <w:r w:rsidRPr="00A83AC1">
        <w:rPr>
          <w:rFonts w:asciiTheme="minorHAnsi" w:hAnsiTheme="minorHAnsi"/>
          <w:sz w:val="22"/>
          <w:szCs w:val="22"/>
          <w:lang w:val="es-AR" w:eastAsia="es-AR"/>
        </w:rPr>
        <w:t xml:space="preserve">casadas o en unión consensual, que </w:t>
      </w:r>
      <w:r>
        <w:rPr>
          <w:rFonts w:asciiTheme="minorHAnsi" w:hAnsiTheme="minorHAnsi"/>
          <w:sz w:val="22"/>
          <w:szCs w:val="22"/>
          <w:lang w:val="es-AR" w:eastAsia="es-AR"/>
        </w:rPr>
        <w:t>expresan</w:t>
      </w:r>
      <w:r w:rsidRPr="00A83AC1">
        <w:rPr>
          <w:rFonts w:asciiTheme="minorHAnsi" w:hAnsiTheme="minorHAnsi"/>
          <w:sz w:val="22"/>
          <w:szCs w:val="22"/>
          <w:lang w:val="es-AR" w:eastAsia="es-AR"/>
        </w:rPr>
        <w:t xml:space="preserve"> no querer más hijos o que desean retrasar el siguiente embarazo y que no usan ningún método anticonceptivo. El concepto de demanda insatisfecha de planificación familiar alude a la brecha entre las intenciones reproductivas de la mujer y su comportamiento anticonceptivo. </w:t>
      </w:r>
      <w:r w:rsidRPr="00DD3529">
        <w:rPr>
          <w:rFonts w:asciiTheme="minorHAnsi" w:hAnsiTheme="minorHAnsi"/>
          <w:sz w:val="22"/>
          <w:szCs w:val="22"/>
          <w:lang w:val="es-AR" w:eastAsia="es-AR"/>
        </w:rPr>
        <w:t>Según información del OIG, la demanda insatisfecha de planificación familiar ha disminuido en las últimas décadas en la mayoría de los países, lo que se expresa en la caída del promedio</w:t>
      </w:r>
      <w:r w:rsidRPr="00DD3529">
        <w:rPr>
          <w:rFonts w:asciiTheme="minorHAnsi" w:hAnsiTheme="minorHAnsi"/>
          <w:color w:val="333537"/>
          <w:sz w:val="22"/>
          <w:szCs w:val="22"/>
          <w:lang w:val="es-AR" w:eastAsia="es-AR"/>
        </w:rPr>
        <w:t xml:space="preserve"> </w:t>
      </w:r>
      <w:r w:rsidRPr="00DD3529">
        <w:rPr>
          <w:rFonts w:asciiTheme="minorHAnsi" w:hAnsiTheme="minorHAnsi"/>
          <w:sz w:val="22"/>
          <w:szCs w:val="22"/>
          <w:lang w:val="es-AR" w:eastAsia="es-AR"/>
        </w:rPr>
        <w:t>regional desde un 17,2% en 1990 a un 10,6% en 2013. Haití encabeza la lista de países con mayor demanda insatisfecha de planificación familiar, con un 35,3%, lo que significa que casi cuatro de cada diez mujeres no tienen acceso a métodos anticonceptivos. También presenta alto nivel de demanda insatisfecha Guyana, con un 28,5%. Entre los países del Mercosur, la población femenina en edad fértil —casada o en unión consensual— que exhibe mayor demanda corresponde a Bolivia y a Venezuela (cuadro 2).</w:t>
      </w:r>
    </w:p>
    <w:p w:rsidR="00252E7B" w:rsidRPr="000E08B3" w:rsidRDefault="00252E7B" w:rsidP="00252E7B">
      <w:pPr>
        <w:pStyle w:val="NormalWeb"/>
        <w:widowControl w:val="0"/>
        <w:shd w:val="clear" w:color="auto" w:fill="FFFFFF"/>
        <w:spacing w:before="0" w:beforeAutospacing="0" w:after="0" w:afterAutospacing="0" w:line="300" w:lineRule="auto"/>
        <w:ind w:firstLine="720"/>
        <w:contextualSpacing/>
        <w:jc w:val="both"/>
        <w:rPr>
          <w:rFonts w:asciiTheme="minorHAnsi" w:hAnsiTheme="minorHAnsi"/>
          <w:sz w:val="22"/>
          <w:szCs w:val="22"/>
        </w:rPr>
      </w:pPr>
      <w:r w:rsidRPr="000E08B3">
        <w:rPr>
          <w:rFonts w:asciiTheme="minorHAnsi" w:hAnsiTheme="minorHAnsi"/>
          <w:sz w:val="22"/>
          <w:szCs w:val="22"/>
        </w:rPr>
        <w:t>Asimismo, según información de</w:t>
      </w:r>
      <w:r>
        <w:rPr>
          <w:rFonts w:asciiTheme="minorHAnsi" w:hAnsiTheme="minorHAnsi"/>
          <w:sz w:val="22"/>
          <w:szCs w:val="22"/>
        </w:rPr>
        <w:t>l</w:t>
      </w:r>
      <w:r w:rsidRPr="000E08B3">
        <w:rPr>
          <w:rFonts w:asciiTheme="minorHAnsi" w:hAnsiTheme="minorHAnsi"/>
          <w:sz w:val="22"/>
          <w:szCs w:val="22"/>
        </w:rPr>
        <w:t xml:space="preserve"> OIG</w:t>
      </w:r>
      <w:r>
        <w:rPr>
          <w:rFonts w:asciiTheme="minorHAnsi" w:hAnsiTheme="minorHAnsi"/>
          <w:sz w:val="22"/>
          <w:szCs w:val="22"/>
        </w:rPr>
        <w:t>,</w:t>
      </w:r>
      <w:r w:rsidRPr="000E08B3">
        <w:rPr>
          <w:rFonts w:asciiTheme="minorHAnsi" w:hAnsiTheme="minorHAnsi"/>
          <w:sz w:val="22"/>
          <w:szCs w:val="22"/>
        </w:rPr>
        <w:t xml:space="preserve"> la tasa de mortalidad materna en los países de América Latina y el Caribe si bien muestra</w:t>
      </w:r>
      <w:r>
        <w:rPr>
          <w:rFonts w:asciiTheme="minorHAnsi" w:hAnsiTheme="minorHAnsi"/>
          <w:sz w:val="22"/>
          <w:szCs w:val="22"/>
        </w:rPr>
        <w:t>n</w:t>
      </w:r>
      <w:r w:rsidRPr="000E08B3">
        <w:rPr>
          <w:rFonts w:asciiTheme="minorHAnsi" w:hAnsiTheme="minorHAnsi"/>
          <w:sz w:val="22"/>
          <w:szCs w:val="22"/>
        </w:rPr>
        <w:t xml:space="preserve"> un importante descenso como promedio regional en los últimos años, desde 88 por cada 100.000 nacidos vivos en 2005, a 67 por cada 100.000 nacidos vivos en 2015 aún está lejos de la meta planteada en los ODM (Objetivos de Desarrollo del Milenio de Naciones Unidas). En el cuadro 4 se presenta la razón de mortalidad materna en los países del Mercosur indicando que la peor situación se registra en Bolivia y la mejor en Uruguay.</w:t>
      </w:r>
    </w:p>
    <w:p w:rsidR="00585778" w:rsidRDefault="00585778" w:rsidP="005836B9">
      <w:pPr>
        <w:pStyle w:val="NormalWeb"/>
        <w:shd w:val="clear" w:color="auto" w:fill="FFFFFF"/>
        <w:spacing w:before="0" w:beforeAutospacing="0" w:after="0" w:afterAutospacing="0"/>
        <w:rPr>
          <w:rFonts w:asciiTheme="minorHAnsi" w:hAnsiTheme="minorHAnsi"/>
          <w:sz w:val="22"/>
          <w:szCs w:val="22"/>
        </w:rPr>
      </w:pPr>
    </w:p>
    <w:p w:rsidR="00C84005" w:rsidRPr="00A83AC1" w:rsidRDefault="005836B9" w:rsidP="005836B9">
      <w:pPr>
        <w:pStyle w:val="NormalWeb"/>
        <w:shd w:val="clear" w:color="auto" w:fill="FFFFFF"/>
        <w:spacing w:before="0" w:beforeAutospacing="0" w:after="0" w:afterAutospacing="0"/>
        <w:rPr>
          <w:rFonts w:asciiTheme="minorHAnsi" w:hAnsiTheme="minorHAnsi"/>
          <w:sz w:val="22"/>
          <w:szCs w:val="22"/>
        </w:rPr>
      </w:pPr>
      <w:r w:rsidRPr="005836B9">
        <w:rPr>
          <w:rFonts w:asciiTheme="minorHAnsi" w:hAnsiTheme="minorHAnsi"/>
          <w:sz w:val="22"/>
          <w:szCs w:val="22"/>
        </w:rPr>
        <w:t>Cuadro 4. Razón de mortalidad materna (por cien mil). Países miembros del Mercosur</w:t>
      </w:r>
    </w:p>
    <w:p w:rsidR="00E871C4" w:rsidRDefault="00BD7B1C" w:rsidP="005836B9">
      <w:pPr>
        <w:pStyle w:val="31Subttulo1"/>
        <w:numPr>
          <w:ilvl w:val="0"/>
          <w:numId w:val="0"/>
        </w:numPr>
        <w:spacing w:before="0" w:after="0" w:line="240" w:lineRule="auto"/>
        <w:ind w:left="360"/>
        <w:rPr>
          <w:rFonts w:asciiTheme="minorHAnsi" w:hAnsiTheme="minorHAnsi"/>
          <w:b w:val="0"/>
          <w:i w:val="0"/>
          <w:sz w:val="22"/>
          <w:szCs w:val="22"/>
        </w:rPr>
      </w:pPr>
      <w:r w:rsidRPr="005836B9">
        <w:rPr>
          <w:noProof/>
          <w:szCs w:val="22"/>
        </w:rPr>
        <w:drawing>
          <wp:inline distT="0" distB="0" distL="0" distR="0">
            <wp:extent cx="3307715" cy="151892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7715" cy="1518920"/>
                    </a:xfrm>
                    <a:prstGeom prst="rect">
                      <a:avLst/>
                    </a:prstGeom>
                    <a:noFill/>
                    <a:ln>
                      <a:noFill/>
                    </a:ln>
                  </pic:spPr>
                </pic:pic>
              </a:graphicData>
            </a:graphic>
          </wp:inline>
        </w:drawing>
      </w:r>
    </w:p>
    <w:p w:rsidR="00022B09" w:rsidRDefault="00022B09" w:rsidP="005836B9">
      <w:pPr>
        <w:jc w:val="both"/>
        <w:rPr>
          <w:rFonts w:asciiTheme="minorHAnsi" w:hAnsiTheme="minorHAnsi"/>
          <w:sz w:val="16"/>
          <w:szCs w:val="16"/>
          <w:lang w:val="es-AR" w:eastAsia="es-AR"/>
        </w:rPr>
      </w:pPr>
      <w:r w:rsidRPr="00022B09">
        <w:rPr>
          <w:rFonts w:asciiTheme="minorHAnsi" w:hAnsiTheme="minorHAnsi"/>
          <w:sz w:val="16"/>
          <w:szCs w:val="16"/>
          <w:lang w:val="es-AR" w:eastAsia="es-AR"/>
        </w:rPr>
        <w:t>La estimación de mortalidad materna es realizada por el Grupo Inter-Agencial (MMEIG): Organización Mundial de la Salud (OMS), el Banco Mundial, El Fondo de Población de las Naciones Unidas (UNFPA), División de Población de Naciones Unidas (PNUD), El Fondo de las Naciones Unidas para la Infancia (UNICEF) y en colaboración con un Grupo Técnico Asesor (GTA).</w:t>
      </w:r>
    </w:p>
    <w:p w:rsidR="005836B9" w:rsidRDefault="005836B9" w:rsidP="005836B9">
      <w:pPr>
        <w:jc w:val="both"/>
        <w:rPr>
          <w:rFonts w:asciiTheme="minorHAnsi" w:hAnsiTheme="minorHAnsi"/>
          <w:sz w:val="16"/>
          <w:szCs w:val="16"/>
          <w:lang w:val="es-AR" w:eastAsia="es-AR"/>
        </w:rPr>
      </w:pPr>
      <w:r w:rsidRPr="005F7EAF">
        <w:rPr>
          <w:rFonts w:asciiTheme="minorHAnsi" w:hAnsiTheme="minorHAnsi"/>
          <w:sz w:val="16"/>
          <w:szCs w:val="16"/>
          <w:lang w:val="es-AR" w:eastAsia="es-AR"/>
        </w:rPr>
        <w:t>Fuente: Observatorio de Igualdad de Género de América Latina y el Caribe, Cepal, UN.</w:t>
      </w:r>
    </w:p>
    <w:p w:rsidR="00585778" w:rsidRDefault="00585778" w:rsidP="005836B9">
      <w:pPr>
        <w:jc w:val="both"/>
        <w:rPr>
          <w:rFonts w:asciiTheme="minorHAnsi" w:hAnsiTheme="minorHAnsi"/>
          <w:sz w:val="16"/>
          <w:szCs w:val="16"/>
          <w:lang w:val="es-AR" w:eastAsia="es-AR"/>
        </w:rPr>
      </w:pPr>
    </w:p>
    <w:p w:rsidR="00567554" w:rsidRPr="00E72404" w:rsidRDefault="00567554" w:rsidP="00E72404">
      <w:pPr>
        <w:pStyle w:val="31Subttulo1"/>
        <w:spacing w:before="0" w:after="0" w:line="360" w:lineRule="auto"/>
        <w:ind w:left="357" w:hanging="357"/>
        <w:rPr>
          <w:sz w:val="22"/>
          <w:szCs w:val="22"/>
        </w:rPr>
      </w:pPr>
      <w:r w:rsidRPr="00E72404">
        <w:rPr>
          <w:sz w:val="22"/>
          <w:szCs w:val="22"/>
        </w:rPr>
        <w:t>Derecho a vivir en un ambiente libre de violencia</w:t>
      </w:r>
    </w:p>
    <w:p w:rsidR="007A4790" w:rsidRPr="0046312B" w:rsidRDefault="00E77309" w:rsidP="0074151E">
      <w:pPr>
        <w:pStyle w:val="4Textocentral"/>
        <w:ind w:firstLine="0"/>
        <w:rPr>
          <w:rFonts w:asciiTheme="minorHAnsi" w:hAnsiTheme="minorHAnsi"/>
          <w:sz w:val="22"/>
          <w:szCs w:val="22"/>
        </w:rPr>
      </w:pPr>
      <w:r w:rsidRPr="0046312B">
        <w:rPr>
          <w:rFonts w:asciiTheme="minorHAnsi" w:hAnsiTheme="minorHAnsi"/>
          <w:sz w:val="22"/>
          <w:szCs w:val="22"/>
        </w:rPr>
        <w:t xml:space="preserve">Según informa el </w:t>
      </w:r>
      <w:r w:rsidR="002E2543" w:rsidRPr="0046312B">
        <w:rPr>
          <w:rFonts w:asciiTheme="minorHAnsi" w:hAnsiTheme="minorHAnsi"/>
          <w:sz w:val="22"/>
          <w:szCs w:val="22"/>
        </w:rPr>
        <w:t>OIG</w:t>
      </w:r>
      <w:r w:rsidR="002E095C">
        <w:rPr>
          <w:rFonts w:asciiTheme="minorHAnsi" w:hAnsiTheme="minorHAnsi"/>
          <w:sz w:val="22"/>
          <w:szCs w:val="22"/>
        </w:rPr>
        <w:t>,</w:t>
      </w:r>
      <w:r w:rsidR="002E2543" w:rsidRPr="0046312B">
        <w:rPr>
          <w:rFonts w:asciiTheme="minorHAnsi" w:hAnsiTheme="minorHAnsi"/>
          <w:sz w:val="22"/>
          <w:szCs w:val="22"/>
        </w:rPr>
        <w:t xml:space="preserve"> entre 2010 y 2015</w:t>
      </w:r>
      <w:r w:rsidR="002E095C">
        <w:rPr>
          <w:rFonts w:asciiTheme="minorHAnsi" w:hAnsiTheme="minorHAnsi"/>
          <w:sz w:val="22"/>
          <w:szCs w:val="22"/>
        </w:rPr>
        <w:t>,</w:t>
      </w:r>
      <w:r w:rsidR="002E2543" w:rsidRPr="0046312B">
        <w:rPr>
          <w:rFonts w:asciiTheme="minorHAnsi" w:hAnsiTheme="minorHAnsi"/>
          <w:sz w:val="22"/>
          <w:szCs w:val="22"/>
        </w:rPr>
        <w:t xml:space="preserve"> el número de países de América Latina y Caribe que han tipificado el femicidio o feminicidio en sus leyes penales subió de cuatro a 1</w:t>
      </w:r>
      <w:r w:rsidR="00E72998">
        <w:rPr>
          <w:rFonts w:asciiTheme="minorHAnsi" w:hAnsiTheme="minorHAnsi"/>
          <w:sz w:val="22"/>
          <w:szCs w:val="22"/>
        </w:rPr>
        <w:t>7</w:t>
      </w:r>
      <w:r w:rsidR="002E2543" w:rsidRPr="0046312B">
        <w:rPr>
          <w:rFonts w:asciiTheme="minorHAnsi" w:hAnsiTheme="minorHAnsi"/>
          <w:sz w:val="22"/>
          <w:szCs w:val="22"/>
        </w:rPr>
        <w:t xml:space="preserve">. En el cuadro 5 se presentan los países del Mercosur que tipifican la violación al derecho de las mujeres de vivir en un ambiente libre de violencia. </w:t>
      </w:r>
      <w:r w:rsidRPr="0046312B">
        <w:rPr>
          <w:rFonts w:asciiTheme="minorHAnsi" w:hAnsiTheme="minorHAnsi"/>
          <w:sz w:val="22"/>
          <w:szCs w:val="22"/>
        </w:rPr>
        <w:t>Hasta el momento e</w:t>
      </w:r>
      <w:r w:rsidR="002E2543" w:rsidRPr="0046312B">
        <w:rPr>
          <w:rFonts w:asciiTheme="minorHAnsi" w:hAnsiTheme="minorHAnsi"/>
          <w:sz w:val="22"/>
          <w:szCs w:val="22"/>
        </w:rPr>
        <w:t xml:space="preserve">ntre los seis países miembros </w:t>
      </w:r>
      <w:r w:rsidR="0022774B" w:rsidRPr="0046312B">
        <w:rPr>
          <w:rFonts w:asciiTheme="minorHAnsi" w:hAnsiTheme="minorHAnsi"/>
          <w:sz w:val="22"/>
          <w:szCs w:val="22"/>
        </w:rPr>
        <w:t xml:space="preserve">del Mercosur </w:t>
      </w:r>
      <w:r w:rsidR="00FC20C1" w:rsidRPr="0046312B">
        <w:rPr>
          <w:rFonts w:asciiTheme="minorHAnsi" w:hAnsiTheme="minorHAnsi"/>
          <w:sz w:val="22"/>
          <w:szCs w:val="22"/>
        </w:rPr>
        <w:t>únicamente</w:t>
      </w:r>
      <w:r w:rsidR="002E2543" w:rsidRPr="0046312B">
        <w:rPr>
          <w:rFonts w:asciiTheme="minorHAnsi" w:hAnsiTheme="minorHAnsi"/>
          <w:sz w:val="22"/>
          <w:szCs w:val="22"/>
        </w:rPr>
        <w:t xml:space="preserve"> Paraguay </w:t>
      </w:r>
      <w:r w:rsidR="00FC20C1" w:rsidRPr="0046312B">
        <w:rPr>
          <w:rFonts w:asciiTheme="minorHAnsi" w:hAnsiTheme="minorHAnsi"/>
          <w:sz w:val="22"/>
          <w:szCs w:val="22"/>
        </w:rPr>
        <w:t>ha dejado fuera de</w:t>
      </w:r>
      <w:r w:rsidR="002E2543" w:rsidRPr="0046312B">
        <w:rPr>
          <w:rFonts w:asciiTheme="minorHAnsi" w:hAnsiTheme="minorHAnsi"/>
          <w:sz w:val="22"/>
          <w:szCs w:val="22"/>
        </w:rPr>
        <w:t xml:space="preserve"> sus ordenamientos jurídicos</w:t>
      </w:r>
      <w:r w:rsidR="00FC20C1" w:rsidRPr="0046312B">
        <w:rPr>
          <w:rFonts w:asciiTheme="minorHAnsi" w:hAnsiTheme="minorHAnsi"/>
          <w:sz w:val="22"/>
          <w:szCs w:val="22"/>
        </w:rPr>
        <w:t xml:space="preserve"> a dicha figura</w:t>
      </w:r>
      <w:r w:rsidR="002E2543" w:rsidRPr="0046312B">
        <w:rPr>
          <w:rFonts w:asciiTheme="minorHAnsi" w:hAnsiTheme="minorHAnsi"/>
          <w:sz w:val="22"/>
          <w:szCs w:val="22"/>
        </w:rPr>
        <w:t>.</w:t>
      </w:r>
    </w:p>
    <w:p w:rsidR="00A44F58" w:rsidRPr="0046312B" w:rsidRDefault="00FC6A85" w:rsidP="0046312B">
      <w:pPr>
        <w:pStyle w:val="4Textocentral"/>
        <w:ind w:firstLine="720"/>
        <w:rPr>
          <w:rFonts w:asciiTheme="minorHAnsi" w:hAnsiTheme="minorHAnsi"/>
          <w:sz w:val="22"/>
          <w:szCs w:val="22"/>
        </w:rPr>
      </w:pPr>
      <w:r w:rsidRPr="0046312B">
        <w:rPr>
          <w:rFonts w:asciiTheme="minorHAnsi" w:hAnsiTheme="minorHAnsi"/>
          <w:sz w:val="22"/>
          <w:szCs w:val="22"/>
        </w:rPr>
        <w:t xml:space="preserve">Entre </w:t>
      </w:r>
      <w:r w:rsidR="00E77309" w:rsidRPr="0046312B">
        <w:rPr>
          <w:rFonts w:asciiTheme="minorHAnsi" w:hAnsiTheme="minorHAnsi"/>
          <w:sz w:val="22"/>
          <w:szCs w:val="22"/>
        </w:rPr>
        <w:t xml:space="preserve">estos seis países </w:t>
      </w:r>
      <w:r w:rsidRPr="0046312B">
        <w:rPr>
          <w:rFonts w:asciiTheme="minorHAnsi" w:hAnsiTheme="minorHAnsi"/>
          <w:sz w:val="22"/>
          <w:szCs w:val="22"/>
        </w:rPr>
        <w:t xml:space="preserve">sobresale </w:t>
      </w:r>
      <w:r w:rsidR="002D0877" w:rsidRPr="0046312B">
        <w:rPr>
          <w:rFonts w:asciiTheme="minorHAnsi" w:hAnsiTheme="minorHAnsi"/>
          <w:sz w:val="22"/>
          <w:szCs w:val="22"/>
        </w:rPr>
        <w:t>el caso de Brasil.</w:t>
      </w:r>
      <w:r w:rsidR="007A4790" w:rsidRPr="0046312B">
        <w:rPr>
          <w:rFonts w:asciiTheme="minorHAnsi" w:hAnsiTheme="minorHAnsi"/>
          <w:sz w:val="22"/>
          <w:szCs w:val="22"/>
        </w:rPr>
        <w:t xml:space="preserve"> </w:t>
      </w:r>
      <w:r w:rsidR="002C4339" w:rsidRPr="0046312B">
        <w:rPr>
          <w:rFonts w:asciiTheme="minorHAnsi" w:hAnsiTheme="minorHAnsi"/>
          <w:sz w:val="22"/>
          <w:szCs w:val="22"/>
        </w:rPr>
        <w:t>Es necesario conocer que e</w:t>
      </w:r>
      <w:r w:rsidR="002D0877" w:rsidRPr="0046312B">
        <w:rPr>
          <w:rFonts w:asciiTheme="minorHAnsi" w:hAnsiTheme="minorHAnsi"/>
          <w:sz w:val="22"/>
          <w:szCs w:val="22"/>
        </w:rPr>
        <w:t xml:space="preserve">n el año 2006 </w:t>
      </w:r>
      <w:r w:rsidRPr="0046312B">
        <w:rPr>
          <w:rFonts w:asciiTheme="minorHAnsi" w:hAnsiTheme="minorHAnsi"/>
          <w:sz w:val="22"/>
          <w:szCs w:val="22"/>
        </w:rPr>
        <w:lastRenderedPageBreak/>
        <w:t xml:space="preserve">en dicho país </w:t>
      </w:r>
      <w:r w:rsidR="002D0877" w:rsidRPr="0046312B">
        <w:rPr>
          <w:rFonts w:asciiTheme="minorHAnsi" w:hAnsiTheme="minorHAnsi"/>
          <w:sz w:val="22"/>
          <w:szCs w:val="22"/>
        </w:rPr>
        <w:t xml:space="preserve">se </w:t>
      </w:r>
      <w:r w:rsidR="002C4339" w:rsidRPr="0046312B">
        <w:rPr>
          <w:rFonts w:asciiTheme="minorHAnsi" w:hAnsiTheme="minorHAnsi"/>
          <w:sz w:val="22"/>
          <w:szCs w:val="22"/>
        </w:rPr>
        <w:t>sancionó</w:t>
      </w:r>
      <w:r w:rsidR="002D0877" w:rsidRPr="0046312B">
        <w:rPr>
          <w:rFonts w:asciiTheme="minorHAnsi" w:hAnsiTheme="minorHAnsi"/>
          <w:sz w:val="22"/>
          <w:szCs w:val="22"/>
        </w:rPr>
        <w:t xml:space="preserve"> la Ley 11.340 </w:t>
      </w:r>
      <w:r w:rsidR="007A4790" w:rsidRPr="0046312B">
        <w:rPr>
          <w:rFonts w:asciiTheme="minorHAnsi" w:hAnsiTheme="minorHAnsi"/>
          <w:sz w:val="22"/>
          <w:szCs w:val="22"/>
        </w:rPr>
        <w:t>(</w:t>
      </w:r>
      <w:proofErr w:type="spellStart"/>
      <w:r w:rsidR="002D0877" w:rsidRPr="0046312B">
        <w:rPr>
          <w:rFonts w:asciiTheme="minorHAnsi" w:hAnsiTheme="minorHAnsi"/>
          <w:sz w:val="22"/>
          <w:szCs w:val="22"/>
        </w:rPr>
        <w:t>Maria</w:t>
      </w:r>
      <w:proofErr w:type="spellEnd"/>
      <w:r w:rsidR="002D0877" w:rsidRPr="0046312B">
        <w:rPr>
          <w:rFonts w:asciiTheme="minorHAnsi" w:hAnsiTheme="minorHAnsi"/>
          <w:sz w:val="22"/>
          <w:szCs w:val="22"/>
        </w:rPr>
        <w:t xml:space="preserve"> da </w:t>
      </w:r>
      <w:proofErr w:type="spellStart"/>
      <w:r w:rsidR="002D0877" w:rsidRPr="0046312B">
        <w:rPr>
          <w:rFonts w:asciiTheme="minorHAnsi" w:hAnsiTheme="minorHAnsi"/>
          <w:sz w:val="22"/>
          <w:szCs w:val="22"/>
        </w:rPr>
        <w:t>Penha</w:t>
      </w:r>
      <w:proofErr w:type="spellEnd"/>
      <w:r w:rsidR="007A4790" w:rsidRPr="0046312B">
        <w:rPr>
          <w:rFonts w:asciiTheme="minorHAnsi" w:hAnsiTheme="minorHAnsi"/>
          <w:sz w:val="22"/>
          <w:szCs w:val="22"/>
        </w:rPr>
        <w:t>)</w:t>
      </w:r>
      <w:r w:rsidR="007A4790" w:rsidRPr="002A1F91">
        <w:rPr>
          <w:vertAlign w:val="superscript"/>
        </w:rPr>
        <w:footnoteReference w:id="6"/>
      </w:r>
      <w:r w:rsidR="002D0877" w:rsidRPr="0046312B">
        <w:rPr>
          <w:rFonts w:asciiTheme="minorHAnsi" w:hAnsiTheme="minorHAnsi"/>
          <w:sz w:val="22"/>
          <w:szCs w:val="22"/>
        </w:rPr>
        <w:t xml:space="preserve"> </w:t>
      </w:r>
      <w:r w:rsidR="002C4339" w:rsidRPr="0046312B">
        <w:rPr>
          <w:rFonts w:asciiTheme="minorHAnsi" w:hAnsiTheme="minorHAnsi"/>
          <w:sz w:val="22"/>
          <w:szCs w:val="22"/>
        </w:rPr>
        <w:t>que considera que el asesinato de una mujer por el hecho de ser mujer atenta</w:t>
      </w:r>
      <w:r w:rsidRPr="0046312B">
        <w:rPr>
          <w:rFonts w:asciiTheme="minorHAnsi" w:hAnsiTheme="minorHAnsi"/>
          <w:sz w:val="22"/>
          <w:szCs w:val="22"/>
        </w:rPr>
        <w:t>,</w:t>
      </w:r>
      <w:r w:rsidR="002C4339" w:rsidRPr="0046312B">
        <w:rPr>
          <w:rFonts w:asciiTheme="minorHAnsi" w:hAnsiTheme="minorHAnsi"/>
          <w:sz w:val="22"/>
          <w:szCs w:val="22"/>
        </w:rPr>
        <w:t xml:space="preserve"> contra</w:t>
      </w:r>
      <w:r w:rsidR="002D0877" w:rsidRPr="0046312B">
        <w:rPr>
          <w:rFonts w:asciiTheme="minorHAnsi" w:hAnsiTheme="minorHAnsi"/>
          <w:sz w:val="22"/>
          <w:szCs w:val="22"/>
        </w:rPr>
        <w:t xml:space="preserve"> el derecho de</w:t>
      </w:r>
      <w:r w:rsidR="002C4339" w:rsidRPr="0046312B">
        <w:rPr>
          <w:rFonts w:asciiTheme="minorHAnsi" w:hAnsiTheme="minorHAnsi"/>
          <w:sz w:val="22"/>
          <w:szCs w:val="22"/>
        </w:rPr>
        <w:t xml:space="preserve"> </w:t>
      </w:r>
      <w:r w:rsidRPr="0046312B">
        <w:rPr>
          <w:rFonts w:asciiTheme="minorHAnsi" w:hAnsiTheme="minorHAnsi"/>
          <w:sz w:val="22"/>
          <w:szCs w:val="22"/>
        </w:rPr>
        <w:t xml:space="preserve">todas </w:t>
      </w:r>
      <w:r w:rsidR="002D0877" w:rsidRPr="0046312B">
        <w:rPr>
          <w:rFonts w:asciiTheme="minorHAnsi" w:hAnsiTheme="minorHAnsi"/>
          <w:sz w:val="22"/>
          <w:szCs w:val="22"/>
        </w:rPr>
        <w:t>las mujeres a vivir una vida sin violencia</w:t>
      </w:r>
      <w:r w:rsidR="00AE0AEB" w:rsidRPr="0046312B">
        <w:rPr>
          <w:rFonts w:asciiTheme="minorHAnsi" w:hAnsiTheme="minorHAnsi"/>
          <w:sz w:val="22"/>
          <w:szCs w:val="22"/>
        </w:rPr>
        <w:t xml:space="preserve"> y </w:t>
      </w:r>
      <w:r w:rsidR="002D0877" w:rsidRPr="0046312B">
        <w:rPr>
          <w:rFonts w:asciiTheme="minorHAnsi" w:hAnsiTheme="minorHAnsi"/>
          <w:sz w:val="22"/>
          <w:szCs w:val="22"/>
        </w:rPr>
        <w:t>obliga</w:t>
      </w:r>
      <w:r w:rsidR="00AE0AEB" w:rsidRPr="0046312B">
        <w:rPr>
          <w:rFonts w:asciiTheme="minorHAnsi" w:hAnsiTheme="minorHAnsi"/>
          <w:sz w:val="22"/>
          <w:szCs w:val="22"/>
        </w:rPr>
        <w:t xml:space="preserve"> </w:t>
      </w:r>
      <w:r w:rsidR="002D0877" w:rsidRPr="0046312B">
        <w:rPr>
          <w:rFonts w:asciiTheme="minorHAnsi" w:hAnsiTheme="minorHAnsi"/>
          <w:sz w:val="22"/>
          <w:szCs w:val="22"/>
        </w:rPr>
        <w:t xml:space="preserve">al Estado y a la sociedad toda a </w:t>
      </w:r>
      <w:r w:rsidRPr="0046312B">
        <w:rPr>
          <w:rFonts w:asciiTheme="minorHAnsi" w:hAnsiTheme="minorHAnsi"/>
          <w:sz w:val="22"/>
          <w:szCs w:val="22"/>
        </w:rPr>
        <w:t>resguardar</w:t>
      </w:r>
      <w:r w:rsidR="002D0877" w:rsidRPr="0046312B">
        <w:rPr>
          <w:rFonts w:asciiTheme="minorHAnsi" w:hAnsiTheme="minorHAnsi"/>
          <w:sz w:val="22"/>
          <w:szCs w:val="22"/>
        </w:rPr>
        <w:t xml:space="preserve"> a las mujeres de la violencia doméstica y familiar, independientemente de su edad, clase social, raza, religión y orientación</w:t>
      </w:r>
      <w:r w:rsidR="00FF0F92" w:rsidRPr="0046312B">
        <w:rPr>
          <w:rFonts w:asciiTheme="minorHAnsi" w:hAnsiTheme="minorHAnsi"/>
          <w:sz w:val="22"/>
          <w:szCs w:val="22"/>
        </w:rPr>
        <w:t xml:space="preserve"> </w:t>
      </w:r>
      <w:r w:rsidR="002D0877" w:rsidRPr="0046312B">
        <w:rPr>
          <w:rFonts w:asciiTheme="minorHAnsi" w:hAnsiTheme="minorHAnsi"/>
          <w:sz w:val="22"/>
          <w:szCs w:val="22"/>
        </w:rPr>
        <w:t>sexual</w:t>
      </w:r>
      <w:r w:rsidR="00AE0AEB" w:rsidRPr="0046312B">
        <w:rPr>
          <w:rFonts w:asciiTheme="minorHAnsi" w:hAnsiTheme="minorHAnsi"/>
          <w:sz w:val="22"/>
          <w:szCs w:val="22"/>
        </w:rPr>
        <w:t xml:space="preserve">. </w:t>
      </w:r>
      <w:r w:rsidRPr="0046312B">
        <w:rPr>
          <w:rFonts w:asciiTheme="minorHAnsi" w:hAnsiTheme="minorHAnsi"/>
          <w:sz w:val="22"/>
          <w:szCs w:val="22"/>
        </w:rPr>
        <w:t>Es decir</w:t>
      </w:r>
      <w:r w:rsidR="00837358">
        <w:rPr>
          <w:rFonts w:asciiTheme="minorHAnsi" w:hAnsiTheme="minorHAnsi"/>
          <w:sz w:val="22"/>
          <w:szCs w:val="22"/>
        </w:rPr>
        <w:t>,</w:t>
      </w:r>
      <w:r w:rsidR="00AE0AEB" w:rsidRPr="0046312B">
        <w:rPr>
          <w:rFonts w:asciiTheme="minorHAnsi" w:hAnsiTheme="minorHAnsi"/>
          <w:sz w:val="22"/>
          <w:szCs w:val="22"/>
        </w:rPr>
        <w:t xml:space="preserve"> en términos jurídicos</w:t>
      </w:r>
      <w:r w:rsidRPr="0046312B">
        <w:rPr>
          <w:rFonts w:asciiTheme="minorHAnsi" w:hAnsiTheme="minorHAnsi"/>
          <w:sz w:val="22"/>
          <w:szCs w:val="22"/>
        </w:rPr>
        <w:t>,</w:t>
      </w:r>
      <w:r w:rsidR="00AE0AEB" w:rsidRPr="0046312B">
        <w:rPr>
          <w:rFonts w:asciiTheme="minorHAnsi" w:hAnsiTheme="minorHAnsi"/>
          <w:sz w:val="22"/>
          <w:szCs w:val="22"/>
        </w:rPr>
        <w:t xml:space="preserve"> la </w:t>
      </w:r>
      <w:r w:rsidR="002D0877" w:rsidRPr="0046312B">
        <w:rPr>
          <w:rFonts w:asciiTheme="minorHAnsi" w:hAnsiTheme="minorHAnsi"/>
          <w:sz w:val="22"/>
          <w:szCs w:val="22"/>
        </w:rPr>
        <w:t xml:space="preserve">violencia contra las mujeres </w:t>
      </w:r>
      <w:r w:rsidR="00AE0AEB" w:rsidRPr="0046312B">
        <w:rPr>
          <w:rFonts w:asciiTheme="minorHAnsi" w:hAnsiTheme="minorHAnsi"/>
          <w:sz w:val="22"/>
          <w:szCs w:val="22"/>
        </w:rPr>
        <w:t xml:space="preserve">dejó de ser </w:t>
      </w:r>
      <w:r w:rsidR="002D0877" w:rsidRPr="0046312B">
        <w:rPr>
          <w:rFonts w:asciiTheme="minorHAnsi" w:hAnsiTheme="minorHAnsi"/>
          <w:sz w:val="22"/>
          <w:szCs w:val="22"/>
        </w:rPr>
        <w:t>un crimen privado de menor gravedad</w:t>
      </w:r>
      <w:r w:rsidRPr="0046312B">
        <w:rPr>
          <w:rFonts w:asciiTheme="minorHAnsi" w:hAnsiTheme="minorHAnsi"/>
          <w:sz w:val="22"/>
          <w:szCs w:val="22"/>
        </w:rPr>
        <w:t xml:space="preserve"> (Benavente y Valdés, 2014: 25-28)</w:t>
      </w:r>
      <w:r w:rsidR="007A4790" w:rsidRPr="0046312B">
        <w:rPr>
          <w:rFonts w:asciiTheme="minorHAnsi" w:hAnsiTheme="minorHAnsi"/>
          <w:sz w:val="22"/>
          <w:szCs w:val="22"/>
        </w:rPr>
        <w:t xml:space="preserve"> y como lo señala la ley venezolana se la debe reconocer como una forma extrema de violencia causada por el odio y el desprecio hacia la</w:t>
      </w:r>
      <w:r w:rsidR="0055144B">
        <w:rPr>
          <w:rFonts w:asciiTheme="minorHAnsi" w:hAnsiTheme="minorHAnsi"/>
          <w:sz w:val="22"/>
          <w:szCs w:val="22"/>
        </w:rPr>
        <w:t xml:space="preserve"> condición femenina</w:t>
      </w:r>
      <w:r w:rsidR="007A4790" w:rsidRPr="0046312B">
        <w:rPr>
          <w:rFonts w:asciiTheme="minorHAnsi" w:hAnsiTheme="minorHAnsi"/>
          <w:sz w:val="22"/>
          <w:szCs w:val="22"/>
        </w:rPr>
        <w:t>.</w:t>
      </w:r>
    </w:p>
    <w:p w:rsidR="00585778" w:rsidRDefault="00585778" w:rsidP="00A44F58">
      <w:pPr>
        <w:pStyle w:val="4Textocentral"/>
        <w:ind w:firstLine="0"/>
      </w:pPr>
    </w:p>
    <w:p w:rsidR="00A44F58" w:rsidRDefault="00A44F58" w:rsidP="00A44F58">
      <w:pPr>
        <w:pStyle w:val="4Textocentral"/>
        <w:ind w:firstLine="0"/>
        <w:rPr>
          <w:sz w:val="22"/>
          <w:szCs w:val="22"/>
        </w:rPr>
      </w:pPr>
      <w:r w:rsidRPr="000E08B3">
        <w:rPr>
          <w:sz w:val="22"/>
          <w:szCs w:val="22"/>
        </w:rPr>
        <w:t xml:space="preserve">Cuadro 5. Países </w:t>
      </w:r>
      <w:r w:rsidR="00EF6208">
        <w:rPr>
          <w:sz w:val="22"/>
          <w:szCs w:val="22"/>
        </w:rPr>
        <w:t xml:space="preserve">miembros </w:t>
      </w:r>
      <w:r w:rsidRPr="000E08B3">
        <w:rPr>
          <w:sz w:val="22"/>
          <w:szCs w:val="22"/>
        </w:rPr>
        <w:t>del Mercosur que tipifican el femicidio o feminicidio y homicidio agravado por razones de género, según nombre de la normativa, año y tipo penal creado</w:t>
      </w:r>
    </w:p>
    <w:p w:rsidR="00476EF2" w:rsidRPr="000E08B3" w:rsidRDefault="003A2FC0" w:rsidP="00A44F58">
      <w:pPr>
        <w:pStyle w:val="4Textocentral"/>
        <w:ind w:firstLine="0"/>
        <w:rPr>
          <w:sz w:val="22"/>
          <w:szCs w:val="22"/>
        </w:rPr>
      </w:pPr>
      <w:r w:rsidRPr="003A2FC0">
        <w:rPr>
          <w:noProof/>
        </w:rPr>
        <w:drawing>
          <wp:inline distT="0" distB="0" distL="0" distR="0">
            <wp:extent cx="5943600" cy="187310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73102"/>
                    </a:xfrm>
                    <a:prstGeom prst="rect">
                      <a:avLst/>
                    </a:prstGeom>
                    <a:noFill/>
                    <a:ln>
                      <a:noFill/>
                    </a:ln>
                  </pic:spPr>
                </pic:pic>
              </a:graphicData>
            </a:graphic>
          </wp:inline>
        </w:drawing>
      </w:r>
    </w:p>
    <w:p w:rsidR="00A44F58" w:rsidRPr="001324AC" w:rsidRDefault="00A44F58" w:rsidP="00A44F58">
      <w:pPr>
        <w:pStyle w:val="4Textocentral"/>
        <w:ind w:firstLine="0"/>
        <w:rPr>
          <w:sz w:val="16"/>
          <w:szCs w:val="16"/>
        </w:rPr>
      </w:pPr>
      <w:r w:rsidRPr="001324AC">
        <w:rPr>
          <w:sz w:val="16"/>
          <w:szCs w:val="16"/>
        </w:rPr>
        <w:t>Fuente: Observatorio de Igualdad de Género de América Latina y el Caribe, Cepal, UN.</w:t>
      </w:r>
    </w:p>
    <w:p w:rsidR="002D0877" w:rsidRDefault="002D0877" w:rsidP="00A44F58">
      <w:pPr>
        <w:pStyle w:val="4Textocentral"/>
        <w:ind w:firstLine="0"/>
      </w:pPr>
    </w:p>
    <w:p w:rsidR="00585778" w:rsidRPr="0046312B" w:rsidRDefault="00585778" w:rsidP="00585778">
      <w:pPr>
        <w:pStyle w:val="4Textocentral"/>
        <w:rPr>
          <w:sz w:val="22"/>
          <w:szCs w:val="22"/>
        </w:rPr>
      </w:pPr>
      <w:r w:rsidRPr="0046312B">
        <w:rPr>
          <w:sz w:val="22"/>
          <w:szCs w:val="22"/>
        </w:rPr>
        <w:t xml:space="preserve">Según el </w:t>
      </w:r>
      <w:r w:rsidRPr="0046312B">
        <w:rPr>
          <w:i/>
          <w:sz w:val="22"/>
          <w:szCs w:val="22"/>
        </w:rPr>
        <w:t xml:space="preserve">Mapa da </w:t>
      </w:r>
      <w:proofErr w:type="spellStart"/>
      <w:r w:rsidRPr="0046312B">
        <w:rPr>
          <w:i/>
          <w:sz w:val="22"/>
          <w:szCs w:val="22"/>
        </w:rPr>
        <w:t>Violência</w:t>
      </w:r>
      <w:proofErr w:type="spellEnd"/>
      <w:r w:rsidRPr="0046312B">
        <w:rPr>
          <w:i/>
          <w:sz w:val="22"/>
          <w:szCs w:val="22"/>
        </w:rPr>
        <w:t xml:space="preserve"> 2015</w:t>
      </w:r>
      <w:r w:rsidRPr="0046312B">
        <w:rPr>
          <w:sz w:val="22"/>
          <w:szCs w:val="22"/>
        </w:rPr>
        <w:t xml:space="preserve">, elaborado por la Facultad Latinoamericana de Ciencias Sociales (FLACSO), se ha registrado un aumento del 54% en el número </w:t>
      </w:r>
      <w:r w:rsidR="00CE581E" w:rsidRPr="0046312B">
        <w:rPr>
          <w:sz w:val="22"/>
          <w:szCs w:val="22"/>
        </w:rPr>
        <w:t>de homicidios</w:t>
      </w:r>
      <w:r w:rsidRPr="0046312B">
        <w:rPr>
          <w:sz w:val="22"/>
          <w:szCs w:val="22"/>
        </w:rPr>
        <w:t xml:space="preserve"> de mujeres negras, pasando de 1.864, en 2003, a 2.875, en 2013. En el mismo periodo, la cantidad anual de homicidios de mujeres blancas cayó un 9,8%, pasando </w:t>
      </w:r>
      <w:r w:rsidR="00CE581E" w:rsidRPr="0046312B">
        <w:rPr>
          <w:sz w:val="22"/>
          <w:szCs w:val="22"/>
        </w:rPr>
        <w:t>de 1.747</w:t>
      </w:r>
      <w:r w:rsidRPr="0046312B">
        <w:rPr>
          <w:sz w:val="22"/>
          <w:szCs w:val="22"/>
        </w:rPr>
        <w:t xml:space="preserve"> en 2003 a 1.576 en 2013.</w:t>
      </w:r>
    </w:p>
    <w:p w:rsidR="002E53E3" w:rsidRDefault="002E53E3" w:rsidP="002E53E3">
      <w:pPr>
        <w:pStyle w:val="4Textocentral"/>
        <w:ind w:firstLine="0"/>
        <w:rPr>
          <w:rFonts w:asciiTheme="minorHAnsi" w:hAnsiTheme="minorHAnsi"/>
          <w:sz w:val="22"/>
          <w:szCs w:val="22"/>
        </w:rPr>
      </w:pPr>
    </w:p>
    <w:p w:rsidR="001324AC" w:rsidRDefault="002E53E3" w:rsidP="002E53E3">
      <w:pPr>
        <w:pStyle w:val="4Textocentral"/>
        <w:spacing w:line="240" w:lineRule="auto"/>
        <w:ind w:firstLine="0"/>
        <w:rPr>
          <w:rFonts w:asciiTheme="minorHAnsi" w:hAnsiTheme="minorHAnsi"/>
          <w:sz w:val="22"/>
          <w:szCs w:val="22"/>
        </w:rPr>
      </w:pPr>
      <w:r>
        <w:t xml:space="preserve">Cuadro 6. </w:t>
      </w:r>
      <w:r w:rsidRPr="002E53E3">
        <w:rPr>
          <w:rFonts w:asciiTheme="minorHAnsi" w:hAnsiTheme="minorHAnsi"/>
          <w:sz w:val="22"/>
          <w:szCs w:val="22"/>
        </w:rPr>
        <w:t>Tasas de homicidio de mujeres (por 100 mil). Países del Mercosur, años alrededor de 2010</w:t>
      </w:r>
    </w:p>
    <w:p w:rsidR="002E53E3" w:rsidRDefault="00BD7B1C" w:rsidP="002E53E3">
      <w:pPr>
        <w:pStyle w:val="4Textocentral"/>
        <w:spacing w:line="240" w:lineRule="auto"/>
        <w:ind w:firstLine="0"/>
        <w:jc w:val="left"/>
      </w:pPr>
      <w:r w:rsidRPr="002E53E3">
        <w:rPr>
          <w:noProof/>
        </w:rPr>
        <w:drawing>
          <wp:inline distT="0" distB="0" distL="0" distR="0">
            <wp:extent cx="5883910" cy="119253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910" cy="1192530"/>
                    </a:xfrm>
                    <a:prstGeom prst="rect">
                      <a:avLst/>
                    </a:prstGeom>
                    <a:noFill/>
                    <a:ln>
                      <a:noFill/>
                    </a:ln>
                  </pic:spPr>
                </pic:pic>
              </a:graphicData>
            </a:graphic>
          </wp:inline>
        </w:drawing>
      </w:r>
    </w:p>
    <w:p w:rsidR="002E53E3" w:rsidRPr="002E53E3" w:rsidRDefault="002E53E3" w:rsidP="002E53E3">
      <w:pPr>
        <w:pStyle w:val="4Textocentral"/>
        <w:ind w:firstLine="0"/>
        <w:rPr>
          <w:sz w:val="16"/>
          <w:szCs w:val="16"/>
        </w:rPr>
      </w:pPr>
      <w:r w:rsidRPr="002E53E3">
        <w:rPr>
          <w:sz w:val="16"/>
          <w:szCs w:val="16"/>
        </w:rPr>
        <w:t xml:space="preserve">(*) corresponde al posicionamiento del país </w:t>
      </w:r>
      <w:proofErr w:type="gramStart"/>
      <w:r w:rsidRPr="002E53E3">
        <w:rPr>
          <w:sz w:val="16"/>
          <w:szCs w:val="16"/>
        </w:rPr>
        <w:t>en relación a</w:t>
      </w:r>
      <w:proofErr w:type="gramEnd"/>
      <w:r w:rsidRPr="002E53E3">
        <w:rPr>
          <w:sz w:val="16"/>
          <w:szCs w:val="16"/>
        </w:rPr>
        <w:t xml:space="preserve"> </w:t>
      </w:r>
      <w:r>
        <w:rPr>
          <w:sz w:val="16"/>
          <w:szCs w:val="16"/>
        </w:rPr>
        <w:t>un total de 83 países del mundo. En</w:t>
      </w:r>
      <w:r w:rsidRPr="002E53E3">
        <w:rPr>
          <w:sz w:val="16"/>
          <w:szCs w:val="16"/>
        </w:rPr>
        <w:t xml:space="preserve"> Venezuela la tasa fue de 3,6 por mil (2007; 15º)</w:t>
      </w:r>
      <w:r>
        <w:rPr>
          <w:sz w:val="16"/>
          <w:szCs w:val="16"/>
        </w:rPr>
        <w:t xml:space="preserve">. </w:t>
      </w:r>
      <w:r w:rsidRPr="002E53E3">
        <w:rPr>
          <w:sz w:val="16"/>
          <w:szCs w:val="16"/>
        </w:rPr>
        <w:t xml:space="preserve">Fuente: Mapa da </w:t>
      </w:r>
      <w:proofErr w:type="spellStart"/>
      <w:r w:rsidRPr="002E53E3">
        <w:rPr>
          <w:sz w:val="16"/>
          <w:szCs w:val="16"/>
        </w:rPr>
        <w:t>Violência</w:t>
      </w:r>
      <w:proofErr w:type="spellEnd"/>
      <w:r w:rsidRPr="002E53E3">
        <w:rPr>
          <w:sz w:val="16"/>
          <w:szCs w:val="16"/>
        </w:rPr>
        <w:t xml:space="preserve"> 2015. </w:t>
      </w:r>
      <w:proofErr w:type="spellStart"/>
      <w:r w:rsidRPr="002E53E3">
        <w:rPr>
          <w:sz w:val="16"/>
          <w:szCs w:val="16"/>
        </w:rPr>
        <w:t>Homicídio</w:t>
      </w:r>
      <w:proofErr w:type="spellEnd"/>
      <w:r w:rsidRPr="002E53E3">
        <w:rPr>
          <w:sz w:val="16"/>
          <w:szCs w:val="16"/>
        </w:rPr>
        <w:t xml:space="preserve"> de </w:t>
      </w:r>
      <w:proofErr w:type="spellStart"/>
      <w:r w:rsidRPr="002E53E3">
        <w:rPr>
          <w:sz w:val="16"/>
          <w:szCs w:val="16"/>
        </w:rPr>
        <w:t>mulheres</w:t>
      </w:r>
      <w:proofErr w:type="spellEnd"/>
      <w:r w:rsidRPr="002E53E3">
        <w:rPr>
          <w:sz w:val="16"/>
          <w:szCs w:val="16"/>
        </w:rPr>
        <w:t xml:space="preserve"> no Brasil; (b) Observatorio de </w:t>
      </w:r>
      <w:r>
        <w:rPr>
          <w:sz w:val="16"/>
          <w:szCs w:val="16"/>
        </w:rPr>
        <w:t>I</w:t>
      </w:r>
      <w:r w:rsidRPr="002E53E3">
        <w:rPr>
          <w:sz w:val="16"/>
          <w:szCs w:val="16"/>
        </w:rPr>
        <w:t xml:space="preserve">gualdad de </w:t>
      </w:r>
      <w:r>
        <w:rPr>
          <w:sz w:val="16"/>
          <w:szCs w:val="16"/>
        </w:rPr>
        <w:t>G</w:t>
      </w:r>
      <w:r w:rsidRPr="002E53E3">
        <w:rPr>
          <w:sz w:val="16"/>
          <w:szCs w:val="16"/>
        </w:rPr>
        <w:t>énero -Cepal-.</w:t>
      </w:r>
    </w:p>
    <w:p w:rsidR="002E53E3" w:rsidRDefault="002E53E3" w:rsidP="002E53E3">
      <w:pPr>
        <w:pStyle w:val="4Textocentral"/>
        <w:jc w:val="left"/>
      </w:pPr>
    </w:p>
    <w:p w:rsidR="00D04753" w:rsidRPr="0046312B" w:rsidRDefault="00D04753" w:rsidP="00D04753">
      <w:pPr>
        <w:pStyle w:val="4Textocentral"/>
        <w:ind w:firstLine="720"/>
        <w:rPr>
          <w:sz w:val="22"/>
          <w:szCs w:val="22"/>
        </w:rPr>
      </w:pPr>
      <w:r w:rsidRPr="0046312B">
        <w:rPr>
          <w:rFonts w:asciiTheme="minorHAnsi" w:hAnsiTheme="minorHAnsi"/>
          <w:sz w:val="22"/>
          <w:szCs w:val="22"/>
        </w:rPr>
        <w:lastRenderedPageBreak/>
        <w:t xml:space="preserve">Como indican las cifras relevadas por el OIG, actualmente Honduras es el país de la región con el mayor número total de femicidios (531 en 2014), alcanzando una tasa de un 13.3 femicidios por </w:t>
      </w:r>
      <w:r>
        <w:rPr>
          <w:rFonts w:asciiTheme="minorHAnsi" w:hAnsiTheme="minorHAnsi"/>
          <w:sz w:val="22"/>
          <w:szCs w:val="22"/>
        </w:rPr>
        <w:t xml:space="preserve">cien </w:t>
      </w:r>
      <w:r w:rsidRPr="0046312B">
        <w:rPr>
          <w:rFonts w:asciiTheme="minorHAnsi" w:hAnsiTheme="minorHAnsi"/>
          <w:sz w:val="22"/>
          <w:szCs w:val="22"/>
        </w:rPr>
        <w:t>mil. Pero si se atiende al m</w:t>
      </w:r>
      <w:r w:rsidRPr="0046312B">
        <w:rPr>
          <w:sz w:val="22"/>
          <w:szCs w:val="22"/>
        </w:rPr>
        <w:t xml:space="preserve">apa de homicidio de mujeres de Brasil se tiene que Brasil ocupa </w:t>
      </w:r>
      <w:r w:rsidR="00BA5926" w:rsidRPr="0046312B">
        <w:rPr>
          <w:sz w:val="22"/>
          <w:szCs w:val="22"/>
        </w:rPr>
        <w:t>el quinto</w:t>
      </w:r>
      <w:r w:rsidRPr="0046312B">
        <w:rPr>
          <w:sz w:val="22"/>
          <w:szCs w:val="22"/>
        </w:rPr>
        <w:t xml:space="preserve"> </w:t>
      </w:r>
      <w:r w:rsidR="00BA5926">
        <w:rPr>
          <w:sz w:val="22"/>
          <w:szCs w:val="22"/>
        </w:rPr>
        <w:t>puesto</w:t>
      </w:r>
      <w:r w:rsidRPr="0046312B">
        <w:rPr>
          <w:sz w:val="22"/>
          <w:szCs w:val="22"/>
        </w:rPr>
        <w:t xml:space="preserve"> entre 83 países del mundo. </w:t>
      </w:r>
    </w:p>
    <w:p w:rsidR="00D04753" w:rsidRPr="0046312B" w:rsidRDefault="00D04753" w:rsidP="00D04753">
      <w:pPr>
        <w:pStyle w:val="4Textocentral"/>
        <w:rPr>
          <w:sz w:val="22"/>
          <w:szCs w:val="22"/>
        </w:rPr>
      </w:pPr>
      <w:r w:rsidRPr="0046312B">
        <w:rPr>
          <w:sz w:val="22"/>
          <w:szCs w:val="22"/>
        </w:rPr>
        <w:t xml:space="preserve">En términos absolutos en 2014 en Argentina fueron asesinadas por motivos de género 225 mujeres, en Venezuela 74, en Paraguay 32 y en Uruguay 24. </w:t>
      </w:r>
    </w:p>
    <w:p w:rsidR="000E08B3" w:rsidRPr="0046312B" w:rsidRDefault="000E08B3" w:rsidP="000E08B3">
      <w:pPr>
        <w:pStyle w:val="4Textocentral"/>
        <w:rPr>
          <w:sz w:val="22"/>
          <w:szCs w:val="22"/>
        </w:rPr>
      </w:pPr>
      <w:r w:rsidRPr="0046312B">
        <w:rPr>
          <w:sz w:val="22"/>
          <w:szCs w:val="22"/>
        </w:rPr>
        <w:t>Un objetivo importante actualmente es mejorar la producción de información en la región, para dimensionar el problema y evaluar las respuestas que brindan las políticas públicas, el sistema de salud y las instituciones de la justicia.</w:t>
      </w:r>
    </w:p>
    <w:p w:rsidR="009E2EAB" w:rsidRPr="009845E2" w:rsidRDefault="009E2EAB" w:rsidP="009845E2">
      <w:pPr>
        <w:pStyle w:val="31Subttulo1"/>
        <w:spacing w:before="0" w:after="0" w:line="360" w:lineRule="auto"/>
        <w:ind w:left="357" w:hanging="357"/>
        <w:rPr>
          <w:sz w:val="22"/>
          <w:szCs w:val="22"/>
        </w:rPr>
      </w:pPr>
      <w:r w:rsidRPr="009845E2">
        <w:rPr>
          <w:sz w:val="22"/>
          <w:szCs w:val="22"/>
        </w:rPr>
        <w:t>Cierre</w:t>
      </w:r>
    </w:p>
    <w:p w:rsidR="009E2EAB" w:rsidRDefault="009E2EAB" w:rsidP="0074151E">
      <w:pPr>
        <w:pStyle w:val="4Textocentral"/>
        <w:widowControl/>
        <w:spacing w:line="360" w:lineRule="auto"/>
        <w:ind w:firstLine="0"/>
        <w:contextualSpacing w:val="0"/>
        <w:rPr>
          <w:rFonts w:asciiTheme="minorHAnsi" w:eastAsia="Cantarell" w:hAnsiTheme="minorHAnsi"/>
          <w:sz w:val="22"/>
          <w:szCs w:val="22"/>
          <w:lang w:val="es-ES_tradnl" w:eastAsia="es-ES_tradnl"/>
        </w:rPr>
      </w:pPr>
      <w:r w:rsidRPr="0046312B">
        <w:rPr>
          <w:rFonts w:asciiTheme="minorHAnsi" w:hAnsiTheme="minorHAnsi"/>
          <w:sz w:val="22"/>
          <w:szCs w:val="22"/>
        </w:rPr>
        <w:t xml:space="preserve">¿Cuál es el conflicto grupal que se procura zanjar mediante la </w:t>
      </w:r>
      <w:proofErr w:type="spellStart"/>
      <w:r w:rsidRPr="0046312B">
        <w:rPr>
          <w:rFonts w:asciiTheme="minorHAnsi" w:hAnsiTheme="minorHAnsi"/>
          <w:sz w:val="22"/>
          <w:szCs w:val="22"/>
        </w:rPr>
        <w:t>visibilización</w:t>
      </w:r>
      <w:proofErr w:type="spellEnd"/>
      <w:r w:rsidRPr="0046312B">
        <w:rPr>
          <w:rFonts w:asciiTheme="minorHAnsi" w:hAnsiTheme="minorHAnsi"/>
          <w:sz w:val="22"/>
          <w:szCs w:val="22"/>
        </w:rPr>
        <w:t xml:space="preserve"> de la situación de las mujeres, considerando que son objeto de prácticas discriminatorias vinculadas a su condición genérica?</w:t>
      </w:r>
      <w:r w:rsidR="00672D83" w:rsidRPr="0046312B">
        <w:rPr>
          <w:rFonts w:asciiTheme="minorHAnsi" w:hAnsiTheme="minorHAnsi"/>
          <w:sz w:val="22"/>
          <w:szCs w:val="22"/>
        </w:rPr>
        <w:t xml:space="preserve"> </w:t>
      </w:r>
      <w:r w:rsidR="006B7433" w:rsidRPr="0046312B">
        <w:rPr>
          <w:rFonts w:asciiTheme="minorHAnsi" w:hAnsiTheme="minorHAnsi"/>
          <w:sz w:val="22"/>
          <w:szCs w:val="22"/>
        </w:rPr>
        <w:t xml:space="preserve">Para Norbert </w:t>
      </w:r>
      <w:proofErr w:type="spellStart"/>
      <w:r w:rsidR="006B7433" w:rsidRPr="0046312B">
        <w:rPr>
          <w:rFonts w:asciiTheme="minorHAnsi" w:hAnsiTheme="minorHAnsi"/>
          <w:sz w:val="22"/>
          <w:szCs w:val="22"/>
        </w:rPr>
        <w:t>Elias</w:t>
      </w:r>
      <w:proofErr w:type="spellEnd"/>
      <w:r w:rsidR="006B7433" w:rsidRPr="0046312B">
        <w:rPr>
          <w:rFonts w:asciiTheme="minorHAnsi" w:hAnsiTheme="minorHAnsi"/>
          <w:sz w:val="22"/>
          <w:szCs w:val="22"/>
        </w:rPr>
        <w:t xml:space="preserve"> "la efectividad del Estado en la protección de la persona, así como del ingreso o la propiedad de las mujeres, fue uno de los factores responsables de los cambios en el equilibrio de poder entre los sexos" (1998: 247) como lo es </w:t>
      </w:r>
      <w:r w:rsidR="0055635A" w:rsidRPr="0046312B">
        <w:rPr>
          <w:rFonts w:asciiTheme="minorHAnsi" w:hAnsiTheme="minorHAnsi"/>
          <w:sz w:val="22"/>
          <w:szCs w:val="22"/>
        </w:rPr>
        <w:t xml:space="preserve">también </w:t>
      </w:r>
      <w:r w:rsidR="006B7433" w:rsidRPr="0046312B">
        <w:rPr>
          <w:rFonts w:asciiTheme="minorHAnsi" w:hAnsiTheme="minorHAnsi"/>
          <w:sz w:val="22"/>
          <w:szCs w:val="22"/>
        </w:rPr>
        <w:t>en el presente</w:t>
      </w:r>
      <w:r w:rsidR="00997F59" w:rsidRPr="0046312B">
        <w:rPr>
          <w:rFonts w:asciiTheme="minorHAnsi" w:hAnsiTheme="minorHAnsi"/>
          <w:sz w:val="22"/>
          <w:szCs w:val="22"/>
        </w:rPr>
        <w:t xml:space="preserve">. </w:t>
      </w:r>
      <w:r w:rsidR="0055635A" w:rsidRPr="0046312B">
        <w:rPr>
          <w:sz w:val="22"/>
          <w:szCs w:val="22"/>
        </w:rPr>
        <w:t>E</w:t>
      </w:r>
      <w:r w:rsidR="00767BE6" w:rsidRPr="0046312B">
        <w:rPr>
          <w:sz w:val="22"/>
          <w:szCs w:val="22"/>
        </w:rPr>
        <w:t xml:space="preserve">s decir, </w:t>
      </w:r>
      <w:r w:rsidR="0055635A" w:rsidRPr="0046312B">
        <w:rPr>
          <w:sz w:val="22"/>
          <w:szCs w:val="22"/>
        </w:rPr>
        <w:t xml:space="preserve">la paridad relativa entre varones y mujeres se conecta </w:t>
      </w:r>
      <w:r w:rsidR="00167454" w:rsidRPr="0046312B">
        <w:rPr>
          <w:sz w:val="22"/>
          <w:szCs w:val="22"/>
        </w:rPr>
        <w:t xml:space="preserve">con </w:t>
      </w:r>
      <w:r w:rsidR="0055635A" w:rsidRPr="0046312B">
        <w:rPr>
          <w:sz w:val="22"/>
          <w:szCs w:val="22"/>
        </w:rPr>
        <w:t>el desarrollo de la civilización</w:t>
      </w:r>
      <w:r w:rsidR="00167454" w:rsidRPr="0046312B">
        <w:rPr>
          <w:sz w:val="22"/>
          <w:szCs w:val="22"/>
        </w:rPr>
        <w:t xml:space="preserve"> de modo que</w:t>
      </w:r>
      <w:r w:rsidR="0055635A" w:rsidRPr="0046312B">
        <w:rPr>
          <w:sz w:val="22"/>
          <w:szCs w:val="22"/>
        </w:rPr>
        <w:t xml:space="preserve"> </w:t>
      </w:r>
      <w:r w:rsidR="00167454" w:rsidRPr="0046312B">
        <w:rPr>
          <w:rFonts w:asciiTheme="minorHAnsi" w:hAnsiTheme="minorHAnsi"/>
          <w:sz w:val="22"/>
          <w:szCs w:val="22"/>
        </w:rPr>
        <w:t>es importante hablar del cambiante equilibrio de poder entre los sexos que se ha reavivado en nuestro tiempo. Pero según observa existe una tendencia a considerar los cambios en dicho equilibrio de manera voluntarista lo que representa un error pues</w:t>
      </w:r>
      <w:r w:rsidR="00767BE6" w:rsidRPr="0046312B">
        <w:rPr>
          <w:rFonts w:asciiTheme="minorHAnsi" w:hAnsiTheme="minorHAnsi"/>
          <w:sz w:val="22"/>
          <w:szCs w:val="22"/>
        </w:rPr>
        <w:t>,</w:t>
      </w:r>
      <w:r w:rsidR="00167454" w:rsidRPr="0046312B">
        <w:rPr>
          <w:rFonts w:asciiTheme="minorHAnsi" w:hAnsiTheme="minorHAnsi"/>
          <w:sz w:val="22"/>
          <w:szCs w:val="22"/>
        </w:rPr>
        <w:t xml:space="preserve"> los cambios en el equilibrio de poder entre los sexos se comprenden mejor si se considera "el desarrollo global de la sociedad" (1998: 247). De modo que no parece </w:t>
      </w:r>
      <w:r w:rsidR="00456272" w:rsidRPr="0046312B">
        <w:rPr>
          <w:rFonts w:asciiTheme="minorHAnsi" w:hAnsiTheme="minorHAnsi"/>
          <w:sz w:val="22"/>
          <w:szCs w:val="22"/>
        </w:rPr>
        <w:t>desatinado</w:t>
      </w:r>
      <w:r w:rsidR="00167454" w:rsidRPr="0046312B">
        <w:rPr>
          <w:rFonts w:asciiTheme="minorHAnsi" w:hAnsiTheme="minorHAnsi"/>
          <w:sz w:val="22"/>
          <w:szCs w:val="22"/>
        </w:rPr>
        <w:t xml:space="preserve"> visibilizar la situación de la población </w:t>
      </w:r>
      <w:r w:rsidR="00167454" w:rsidRPr="0046312B">
        <w:rPr>
          <w:rFonts w:asciiTheme="minorHAnsi" w:eastAsia="Cantarell" w:hAnsiTheme="minorHAnsi"/>
          <w:sz w:val="22"/>
          <w:szCs w:val="22"/>
          <w:lang w:val="es-ES_tradnl" w:eastAsia="es-ES_tradnl"/>
        </w:rPr>
        <w:t xml:space="preserve">femenina del Mercosur </w:t>
      </w:r>
      <w:r w:rsidR="00767BE6" w:rsidRPr="0046312B">
        <w:rPr>
          <w:rFonts w:asciiTheme="minorHAnsi" w:eastAsia="Cantarell" w:hAnsiTheme="minorHAnsi"/>
          <w:sz w:val="22"/>
          <w:szCs w:val="22"/>
          <w:lang w:val="es-ES_tradnl" w:eastAsia="es-ES_tradnl"/>
        </w:rPr>
        <w:t>ya que</w:t>
      </w:r>
      <w:r w:rsidR="00167454" w:rsidRPr="0046312B">
        <w:rPr>
          <w:rFonts w:asciiTheme="minorHAnsi" w:eastAsia="Cantarell" w:hAnsiTheme="minorHAnsi"/>
          <w:sz w:val="22"/>
          <w:szCs w:val="22"/>
          <w:lang w:val="es-ES_tradnl" w:eastAsia="es-ES_tradnl"/>
        </w:rPr>
        <w:t xml:space="preserve"> para revertir las tendencias históricas que han favorecido la inequidad </w:t>
      </w:r>
      <w:r w:rsidR="00997F59" w:rsidRPr="0046312B">
        <w:rPr>
          <w:rFonts w:asciiTheme="minorHAnsi" w:eastAsia="Cantarell" w:hAnsiTheme="minorHAnsi"/>
          <w:sz w:val="22"/>
          <w:szCs w:val="22"/>
          <w:lang w:val="es-ES_tradnl" w:eastAsia="es-ES_tradnl"/>
        </w:rPr>
        <w:t xml:space="preserve">se requiere </w:t>
      </w:r>
      <w:r w:rsidR="00167454" w:rsidRPr="0046312B">
        <w:rPr>
          <w:rFonts w:asciiTheme="minorHAnsi" w:eastAsia="Cantarell" w:hAnsiTheme="minorHAnsi"/>
          <w:sz w:val="22"/>
          <w:szCs w:val="22"/>
          <w:lang w:val="es-ES_tradnl" w:eastAsia="es-ES_tradnl"/>
        </w:rPr>
        <w:t>la intervención coordinada de los Estados.</w:t>
      </w:r>
    </w:p>
    <w:p w:rsidR="00537776" w:rsidRPr="003444E4" w:rsidRDefault="00537776" w:rsidP="003444E4">
      <w:pPr>
        <w:pStyle w:val="31Subttulo1"/>
        <w:spacing w:before="0" w:after="0" w:line="360" w:lineRule="auto"/>
        <w:ind w:left="357" w:hanging="357"/>
        <w:rPr>
          <w:sz w:val="22"/>
          <w:szCs w:val="22"/>
        </w:rPr>
      </w:pPr>
      <w:r w:rsidRPr="003444E4">
        <w:rPr>
          <w:sz w:val="22"/>
          <w:szCs w:val="22"/>
        </w:rPr>
        <w:t>Bibliografía</w:t>
      </w:r>
    </w:p>
    <w:p w:rsidR="00D350B7" w:rsidRPr="00317798" w:rsidRDefault="00D350B7" w:rsidP="000E08B3">
      <w:pPr>
        <w:pStyle w:val="Bibliografa"/>
        <w:spacing w:before="0" w:after="0"/>
        <w:rPr>
          <w:sz w:val="22"/>
          <w:szCs w:val="22"/>
        </w:rPr>
      </w:pPr>
      <w:r w:rsidRPr="00317798">
        <w:rPr>
          <w:sz w:val="22"/>
          <w:szCs w:val="22"/>
        </w:rPr>
        <w:t xml:space="preserve">Barker, G., Aguayo, F. y Correa, P. (2012). </w:t>
      </w:r>
      <w:r w:rsidRPr="00317798">
        <w:rPr>
          <w:i/>
          <w:sz w:val="22"/>
          <w:szCs w:val="22"/>
        </w:rPr>
        <w:t>Comprendiendo el ejercicio de violencia de los</w:t>
      </w:r>
      <w:r w:rsidR="00DE0BE1" w:rsidRPr="00317798">
        <w:rPr>
          <w:i/>
          <w:sz w:val="22"/>
          <w:szCs w:val="22"/>
        </w:rPr>
        <w:t xml:space="preserve"> </w:t>
      </w:r>
      <w:r w:rsidRPr="00317798">
        <w:rPr>
          <w:i/>
          <w:sz w:val="22"/>
          <w:szCs w:val="22"/>
        </w:rPr>
        <w:t>hombres hacia las mujeres. Algunos resultados de la encuesta IMAGES (The International</w:t>
      </w:r>
      <w:r w:rsidR="00DE0BE1" w:rsidRPr="00317798">
        <w:rPr>
          <w:i/>
          <w:sz w:val="22"/>
          <w:szCs w:val="22"/>
        </w:rPr>
        <w:t xml:space="preserve"> </w:t>
      </w:r>
      <w:r w:rsidRPr="00317798">
        <w:rPr>
          <w:i/>
          <w:sz w:val="22"/>
          <w:szCs w:val="22"/>
        </w:rPr>
        <w:t>Men and Gender Equality Survey)</w:t>
      </w:r>
      <w:r w:rsidRPr="00317798">
        <w:rPr>
          <w:sz w:val="22"/>
          <w:szCs w:val="22"/>
        </w:rPr>
        <w:t>. Rio de Janeiro, Promundo.</w:t>
      </w:r>
    </w:p>
    <w:p w:rsidR="00716A08" w:rsidRPr="00317798" w:rsidRDefault="00716A08" w:rsidP="000E08B3">
      <w:pPr>
        <w:pStyle w:val="Bibliografa"/>
        <w:spacing w:before="0" w:after="0"/>
        <w:rPr>
          <w:sz w:val="22"/>
          <w:szCs w:val="22"/>
        </w:rPr>
      </w:pPr>
      <w:r w:rsidRPr="00317798">
        <w:rPr>
          <w:sz w:val="22"/>
          <w:szCs w:val="22"/>
        </w:rPr>
        <w:t>CEPAL (Comisión Económica para América Latina y el Caribe)</w:t>
      </w:r>
      <w:r w:rsidR="00A50999" w:rsidRPr="00317798">
        <w:rPr>
          <w:sz w:val="22"/>
          <w:szCs w:val="22"/>
        </w:rPr>
        <w:t>.</w:t>
      </w:r>
      <w:r w:rsidRPr="00317798">
        <w:rPr>
          <w:sz w:val="22"/>
          <w:szCs w:val="22"/>
        </w:rPr>
        <w:t xml:space="preserve"> (2013)</w:t>
      </w:r>
      <w:r w:rsidR="00A50999" w:rsidRPr="00317798">
        <w:rPr>
          <w:sz w:val="22"/>
          <w:szCs w:val="22"/>
        </w:rPr>
        <w:t>.</w:t>
      </w:r>
      <w:r w:rsidRPr="00317798">
        <w:rPr>
          <w:sz w:val="22"/>
          <w:szCs w:val="22"/>
        </w:rPr>
        <w:t xml:space="preserve"> </w:t>
      </w:r>
      <w:r w:rsidRPr="00317798">
        <w:rPr>
          <w:i/>
          <w:sz w:val="22"/>
          <w:szCs w:val="22"/>
        </w:rPr>
        <w:t>Consenso de Montevideo sobre Población y Desarrollo, Primera reunión de la Conferencia Regional sobre Población y Desarrollo de América Latina y el Caribe</w:t>
      </w:r>
      <w:r w:rsidRPr="00317798">
        <w:rPr>
          <w:sz w:val="22"/>
          <w:szCs w:val="22"/>
        </w:rPr>
        <w:t xml:space="preserve"> (LC/L.3697)</w:t>
      </w:r>
      <w:r w:rsidR="00A50999" w:rsidRPr="00317798">
        <w:rPr>
          <w:sz w:val="22"/>
          <w:szCs w:val="22"/>
        </w:rPr>
        <w:t>.</w:t>
      </w:r>
      <w:r w:rsidRPr="00317798">
        <w:rPr>
          <w:sz w:val="22"/>
          <w:szCs w:val="22"/>
        </w:rPr>
        <w:t xml:space="preserve"> Montevideo, 12 a 15 de agosto de 2013</w:t>
      </w:r>
      <w:r w:rsidR="0017505C" w:rsidRPr="00317798">
        <w:rPr>
          <w:sz w:val="22"/>
          <w:szCs w:val="22"/>
        </w:rPr>
        <w:t>.</w:t>
      </w:r>
      <w:r w:rsidRPr="00317798">
        <w:rPr>
          <w:sz w:val="22"/>
          <w:szCs w:val="22"/>
        </w:rPr>
        <w:t xml:space="preserve"> Santiago de Chile</w:t>
      </w:r>
      <w:r w:rsidR="00A50999" w:rsidRPr="00317798">
        <w:rPr>
          <w:sz w:val="22"/>
          <w:szCs w:val="22"/>
        </w:rPr>
        <w:t>, p</w:t>
      </w:r>
      <w:r w:rsidRPr="00317798">
        <w:rPr>
          <w:sz w:val="22"/>
          <w:szCs w:val="22"/>
        </w:rPr>
        <w:t>ublicación de las Naciones Unidas.</w:t>
      </w:r>
    </w:p>
    <w:p w:rsidR="00FE6D53" w:rsidRPr="00317798" w:rsidRDefault="00FE6D53" w:rsidP="000E08B3">
      <w:pPr>
        <w:pStyle w:val="Bibliografa"/>
        <w:spacing w:before="0" w:after="0"/>
        <w:rPr>
          <w:sz w:val="22"/>
          <w:szCs w:val="22"/>
        </w:rPr>
      </w:pPr>
      <w:r w:rsidRPr="00317798">
        <w:rPr>
          <w:sz w:val="22"/>
          <w:szCs w:val="22"/>
        </w:rPr>
        <w:t xml:space="preserve">Céspedes, C.y Robles, C. (2016). </w:t>
      </w:r>
      <w:r w:rsidRPr="00317798">
        <w:rPr>
          <w:i/>
          <w:sz w:val="22"/>
          <w:szCs w:val="22"/>
        </w:rPr>
        <w:t xml:space="preserve">Niñas y adolescentes en América Latina y el Caribe. Deudas de igualdad. </w:t>
      </w:r>
      <w:r w:rsidRPr="00317798">
        <w:rPr>
          <w:sz w:val="22"/>
          <w:szCs w:val="22"/>
        </w:rPr>
        <w:t xml:space="preserve">Santiago de Chile, </w:t>
      </w:r>
      <w:r w:rsidRPr="00317798">
        <w:rPr>
          <w:i/>
          <w:sz w:val="22"/>
          <w:szCs w:val="22"/>
        </w:rPr>
        <w:t xml:space="preserve">Cepal, UNICEF, </w:t>
      </w:r>
      <w:r w:rsidRPr="00317798">
        <w:rPr>
          <w:sz w:val="22"/>
          <w:szCs w:val="22"/>
        </w:rPr>
        <w:t>publicación de las Naciones Unidas</w:t>
      </w:r>
      <w:r w:rsidRPr="00317798">
        <w:rPr>
          <w:i/>
          <w:sz w:val="22"/>
          <w:szCs w:val="22"/>
        </w:rPr>
        <w:t xml:space="preserve">. </w:t>
      </w:r>
    </w:p>
    <w:p w:rsidR="00D00625" w:rsidRPr="00317798" w:rsidRDefault="00D00625" w:rsidP="00D00625">
      <w:pPr>
        <w:pStyle w:val="Bibliografa"/>
        <w:spacing w:before="0" w:after="0"/>
        <w:rPr>
          <w:sz w:val="22"/>
          <w:szCs w:val="22"/>
        </w:rPr>
      </w:pPr>
      <w:r w:rsidRPr="00317798">
        <w:rPr>
          <w:sz w:val="22"/>
          <w:szCs w:val="22"/>
        </w:rPr>
        <w:t xml:space="preserve">Elias, N. (2009). </w:t>
      </w:r>
      <w:r w:rsidRPr="00317798">
        <w:rPr>
          <w:i/>
          <w:sz w:val="22"/>
          <w:szCs w:val="22"/>
        </w:rPr>
        <w:t>Los alemanes</w:t>
      </w:r>
      <w:r w:rsidRPr="00317798">
        <w:rPr>
          <w:sz w:val="22"/>
          <w:szCs w:val="22"/>
        </w:rPr>
        <w:t>. Buenos Aires, Nueva Trilce.</w:t>
      </w:r>
    </w:p>
    <w:p w:rsidR="00D00625" w:rsidRPr="00317798" w:rsidRDefault="00D00625" w:rsidP="00D00625">
      <w:pPr>
        <w:pStyle w:val="Bibliografa"/>
        <w:spacing w:before="0" w:after="0"/>
        <w:rPr>
          <w:i/>
          <w:sz w:val="22"/>
          <w:szCs w:val="22"/>
        </w:rPr>
      </w:pPr>
      <w:r w:rsidRPr="00317798">
        <w:rPr>
          <w:sz w:val="22"/>
          <w:szCs w:val="22"/>
        </w:rPr>
        <w:t xml:space="preserve">____ (1998). "El cambiante equilibrio de poder entre los sexos. Un estudio sociológico procesual: el ejemplo del antiguo Estado romano". En Norbert Elias, </w:t>
      </w:r>
      <w:r w:rsidRPr="00317798">
        <w:rPr>
          <w:i/>
          <w:sz w:val="22"/>
          <w:szCs w:val="22"/>
        </w:rPr>
        <w:t>La civilización de los padres y otros ensayos. Bogotá, Norma.</w:t>
      </w:r>
    </w:p>
    <w:p w:rsidR="00D350B7" w:rsidRPr="00317798" w:rsidRDefault="00D350B7" w:rsidP="000E08B3">
      <w:pPr>
        <w:pStyle w:val="Bibliografa"/>
        <w:spacing w:before="0" w:after="0"/>
        <w:rPr>
          <w:sz w:val="22"/>
          <w:szCs w:val="22"/>
        </w:rPr>
      </w:pPr>
      <w:r w:rsidRPr="00317798">
        <w:rPr>
          <w:sz w:val="22"/>
          <w:szCs w:val="22"/>
        </w:rPr>
        <w:t xml:space="preserve">MERCOSUR (2015). </w:t>
      </w:r>
      <w:r w:rsidRPr="00317798">
        <w:rPr>
          <w:i/>
          <w:sz w:val="22"/>
          <w:szCs w:val="22"/>
        </w:rPr>
        <w:t>Declaración Sociolaboral del Mercosur del 2015</w:t>
      </w:r>
      <w:r w:rsidRPr="00317798">
        <w:rPr>
          <w:sz w:val="22"/>
          <w:szCs w:val="22"/>
        </w:rPr>
        <w:t>. Brasilia</w:t>
      </w:r>
      <w:r w:rsidR="00CC58B6" w:rsidRPr="00317798">
        <w:rPr>
          <w:sz w:val="22"/>
          <w:szCs w:val="22"/>
        </w:rPr>
        <w:t>,</w:t>
      </w:r>
      <w:r w:rsidRPr="00317798">
        <w:rPr>
          <w:sz w:val="22"/>
          <w:szCs w:val="22"/>
        </w:rPr>
        <w:t xml:space="preserve"> Mercosur.</w:t>
      </w:r>
    </w:p>
    <w:p w:rsidR="001C0B5F" w:rsidRPr="00317798" w:rsidRDefault="003E2A67" w:rsidP="000E08B3">
      <w:pPr>
        <w:pStyle w:val="Bibliografa"/>
        <w:spacing w:before="0" w:after="0"/>
        <w:rPr>
          <w:sz w:val="22"/>
          <w:szCs w:val="22"/>
          <w:lang w:val="es-AR"/>
        </w:rPr>
      </w:pPr>
      <w:r w:rsidRPr="00317798">
        <w:rPr>
          <w:sz w:val="22"/>
          <w:szCs w:val="22"/>
        </w:rPr>
        <w:t xml:space="preserve">Waiselfisz, J. (2015). </w:t>
      </w:r>
      <w:r w:rsidRPr="00317798">
        <w:rPr>
          <w:i/>
          <w:sz w:val="22"/>
          <w:szCs w:val="22"/>
        </w:rPr>
        <w:t>Mapa da Violência 2015: Homicídio de mulheres no Brasil</w:t>
      </w:r>
      <w:r w:rsidR="006C4A19" w:rsidRPr="00317798">
        <w:rPr>
          <w:sz w:val="22"/>
          <w:szCs w:val="22"/>
        </w:rPr>
        <w:t>. Brasilia, Flacso.</w:t>
      </w:r>
    </w:p>
    <w:sectPr w:rsidR="001C0B5F" w:rsidRPr="0031779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C4C" w:rsidRDefault="00631C4C" w:rsidP="001861C6">
      <w:r>
        <w:separator/>
      </w:r>
    </w:p>
  </w:endnote>
  <w:endnote w:type="continuationSeparator" w:id="0">
    <w:p w:rsidR="00631C4C" w:rsidRDefault="00631C4C"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grotesque Rg">
    <w:altName w:val="Geogrotesque Regular"/>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ntarell">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1C4" w:rsidRDefault="00E871C4">
    <w:pPr>
      <w:pStyle w:val="Piedepgina"/>
      <w:jc w:val="right"/>
    </w:pPr>
    <w:r>
      <w:fldChar w:fldCharType="begin"/>
    </w:r>
    <w:r>
      <w:instrText xml:space="preserve"> PAGE   \* MERGEFORMAT </w:instrText>
    </w:r>
    <w:r>
      <w:fldChar w:fldCharType="separate"/>
    </w:r>
    <w:r w:rsidR="00822173">
      <w:rPr>
        <w:noProof/>
      </w:rPr>
      <w:t>9</w:t>
    </w:r>
    <w:r>
      <w:fldChar w:fldCharType="end"/>
    </w:r>
  </w:p>
  <w:p w:rsidR="00E871C4" w:rsidRDefault="00E871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C4C" w:rsidRDefault="00631C4C" w:rsidP="001861C6">
      <w:r>
        <w:separator/>
      </w:r>
    </w:p>
  </w:footnote>
  <w:footnote w:type="continuationSeparator" w:id="0">
    <w:p w:rsidR="00631C4C" w:rsidRDefault="00631C4C" w:rsidP="001861C6">
      <w:r>
        <w:continuationSeparator/>
      </w:r>
    </w:p>
  </w:footnote>
  <w:footnote w:id="1">
    <w:p w:rsidR="00885381" w:rsidRPr="00DD3529" w:rsidRDefault="00885381" w:rsidP="00885381">
      <w:pPr>
        <w:pStyle w:val="Textonotapie"/>
        <w:jc w:val="both"/>
        <w:rPr>
          <w:lang w:val="es-AR"/>
        </w:rPr>
      </w:pPr>
      <w:r w:rsidRPr="00DD3529">
        <w:rPr>
          <w:rStyle w:val="Refdenotaalpie"/>
        </w:rPr>
        <w:footnoteRef/>
      </w:r>
      <w:r w:rsidRPr="00DD3529">
        <w:t xml:space="preserve"> Viviana Masciadri, CIC-CONICET</w:t>
      </w:r>
      <w:r w:rsidRPr="00DD3529">
        <w:rPr>
          <w:rFonts w:eastAsia="Cantarell"/>
          <w:i/>
          <w:lang w:val="es-AR"/>
        </w:rPr>
        <w:t>.</w:t>
      </w:r>
    </w:p>
  </w:footnote>
  <w:footnote w:id="2">
    <w:p w:rsidR="0053784D" w:rsidRPr="00DD3529" w:rsidRDefault="0092785B" w:rsidP="0092785B">
      <w:pPr>
        <w:pStyle w:val="Textonotapie"/>
        <w:jc w:val="both"/>
      </w:pPr>
      <w:r w:rsidRPr="00DD3529">
        <w:rPr>
          <w:rStyle w:val="Refdenotaalpie"/>
          <w:rFonts w:asciiTheme="minorHAnsi" w:hAnsiTheme="minorHAnsi"/>
          <w:szCs w:val="22"/>
        </w:rPr>
        <w:footnoteRef/>
      </w:r>
      <w:r w:rsidRPr="00DD3529">
        <w:rPr>
          <w:rFonts w:asciiTheme="minorHAnsi" w:hAnsiTheme="minorHAnsi"/>
          <w:szCs w:val="22"/>
          <w:lang w:val="es-AR"/>
        </w:rPr>
        <w:t xml:space="preserve"> </w:t>
      </w:r>
      <w:r w:rsidRPr="00DD3529">
        <w:rPr>
          <w:rFonts w:asciiTheme="minorHAnsi" w:hAnsiTheme="minorHAnsi"/>
          <w:szCs w:val="22"/>
          <w:lang w:val="es-ES_tradnl" w:eastAsia="es-ES_tradnl"/>
        </w:rPr>
        <w:t>El trabajo se integra al proyecto El no-dato: sistemas estadísticos nacionales y derechos humanos universales en países miembros del Mercosur.</w:t>
      </w:r>
    </w:p>
  </w:footnote>
  <w:footnote w:id="3">
    <w:p w:rsidR="0053784D" w:rsidRPr="00DD3529" w:rsidRDefault="0092785B" w:rsidP="00EB4EED">
      <w:pPr>
        <w:pStyle w:val="Textonotapie"/>
        <w:jc w:val="both"/>
      </w:pPr>
      <w:r w:rsidRPr="00DD3529">
        <w:rPr>
          <w:rStyle w:val="Refdenotaalpie"/>
          <w:rFonts w:asciiTheme="minorHAnsi" w:hAnsiTheme="minorHAnsi"/>
          <w:szCs w:val="22"/>
        </w:rPr>
        <w:footnoteRef/>
      </w:r>
      <w:r w:rsidRPr="00DD3529">
        <w:rPr>
          <w:rFonts w:asciiTheme="minorHAnsi" w:hAnsiTheme="minorHAnsi"/>
          <w:szCs w:val="22"/>
          <w:lang w:val="es-AR"/>
        </w:rPr>
        <w:t xml:space="preserve"> Estos </w:t>
      </w:r>
      <w:r w:rsidRPr="00DD3529">
        <w:rPr>
          <w:rFonts w:asciiTheme="minorHAnsi" w:hAnsiTheme="minorHAnsi"/>
          <w:szCs w:val="22"/>
          <w:lang w:val="es-ES_tradnl"/>
        </w:rPr>
        <w:t>participan en actividades y reuniones del bloque y cuentan con preferencias comerciales. Se debe contar a México y Nueva Zelanda en tanto Estados Observadores.</w:t>
      </w:r>
    </w:p>
  </w:footnote>
  <w:footnote w:id="4">
    <w:p w:rsidR="0053784D" w:rsidRPr="00DD3529" w:rsidRDefault="00585778" w:rsidP="00585778">
      <w:pPr>
        <w:pStyle w:val="Textonotapie"/>
        <w:jc w:val="both"/>
      </w:pPr>
      <w:r w:rsidRPr="00DD3529">
        <w:rPr>
          <w:rStyle w:val="Refdenotaalpie"/>
          <w:rFonts w:asciiTheme="minorHAnsi" w:hAnsiTheme="minorHAnsi"/>
          <w:szCs w:val="22"/>
        </w:rPr>
        <w:footnoteRef/>
      </w:r>
      <w:r w:rsidRPr="00DD3529">
        <w:rPr>
          <w:rFonts w:asciiTheme="minorHAnsi" w:hAnsiTheme="minorHAnsi"/>
          <w:szCs w:val="22"/>
          <w:lang w:val="es-AR"/>
        </w:rPr>
        <w:t xml:space="preserve"> Por dar un ejemplo los Estados Partes reglamentaron la </w:t>
      </w:r>
      <w:r w:rsidRPr="00DD3529">
        <w:rPr>
          <w:rFonts w:asciiTheme="minorHAnsi" w:hAnsiTheme="minorHAnsi"/>
          <w:i/>
          <w:szCs w:val="22"/>
          <w:lang w:val="es-AR"/>
        </w:rPr>
        <w:t>Declaración Sociolaboral del Mercosur del 2015</w:t>
      </w:r>
      <w:r w:rsidRPr="00DD3529">
        <w:rPr>
          <w:rFonts w:asciiTheme="minorHAnsi" w:hAnsiTheme="minorHAnsi"/>
          <w:szCs w:val="22"/>
          <w:lang w:val="es-AR"/>
        </w:rPr>
        <w:t xml:space="preserve"> (2015: 4) a fin de garantizar la no discriminación “efectiva de derechos, trato y oportunidades en el empleo y la ocupación, sin distinción o exclusión por motivo de sexo, etnia, raza, color, ascendencia nacional, nacionalidad, orientación sexual, identidad de género, edad, credo, opinión y actividad política y sindical, ideología, posición económica o cualquier otra condición social, familiar o personal”.</w:t>
      </w:r>
    </w:p>
  </w:footnote>
  <w:footnote w:id="5">
    <w:p w:rsidR="0053784D" w:rsidRPr="00DD3529" w:rsidRDefault="00C84005" w:rsidP="00C84005">
      <w:pPr>
        <w:pStyle w:val="Textonotapie"/>
        <w:jc w:val="both"/>
      </w:pPr>
      <w:r w:rsidRPr="00DD3529">
        <w:rPr>
          <w:rStyle w:val="Refdenotaalpie"/>
          <w:szCs w:val="22"/>
        </w:rPr>
        <w:footnoteRef/>
      </w:r>
      <w:r w:rsidRPr="00DD3529">
        <w:rPr>
          <w:szCs w:val="22"/>
          <w:lang w:val="es-AR"/>
        </w:rPr>
        <w:t xml:space="preserve"> </w:t>
      </w:r>
      <w:r w:rsidRPr="00DD3529">
        <w:rPr>
          <w:rFonts w:asciiTheme="minorHAnsi" w:hAnsiTheme="minorHAnsi"/>
          <w:szCs w:val="22"/>
          <w:lang w:val="es-AR" w:eastAsia="es-AR"/>
        </w:rPr>
        <w:t xml:space="preserve">En efecto, la tasa de fecundidad en adolescentes en América Latina y el Caribe es una de las más altas del mundo, solamente superada por los países del África subsahariana. En general, los países </w:t>
      </w:r>
      <w:r w:rsidR="00DD3529" w:rsidRPr="00DD3529">
        <w:rPr>
          <w:rFonts w:asciiTheme="minorHAnsi" w:hAnsiTheme="minorHAnsi"/>
          <w:szCs w:val="22"/>
          <w:lang w:val="es-AR" w:eastAsia="es-AR"/>
        </w:rPr>
        <w:t>latinoamericanos</w:t>
      </w:r>
      <w:r w:rsidRPr="00DD3529">
        <w:rPr>
          <w:rFonts w:asciiTheme="minorHAnsi" w:hAnsiTheme="minorHAnsi"/>
          <w:szCs w:val="22"/>
          <w:lang w:val="es-AR" w:eastAsia="es-AR"/>
        </w:rPr>
        <w:t xml:space="preserve"> y caribeños poseen una tasa de maternidad en adolescentes que está por encima del 12%, dato que tiende a ser más expresivo en el grupo de adolescentes de menores ingresos y menor nivel educativo según estimaciones del OIG.</w:t>
      </w:r>
    </w:p>
  </w:footnote>
  <w:footnote w:id="6">
    <w:p w:rsidR="0053784D" w:rsidRPr="00DD3529" w:rsidRDefault="007A4790" w:rsidP="007A4790">
      <w:pPr>
        <w:pStyle w:val="Textonotapie"/>
        <w:jc w:val="both"/>
      </w:pPr>
      <w:r w:rsidRPr="00DD3529">
        <w:rPr>
          <w:rStyle w:val="Refdenotaalpie"/>
          <w:szCs w:val="22"/>
        </w:rPr>
        <w:footnoteRef/>
      </w:r>
      <w:r w:rsidRPr="00DD3529">
        <w:rPr>
          <w:szCs w:val="22"/>
          <w:lang w:val="es-AR"/>
        </w:rPr>
        <w:t xml:space="preserve"> </w:t>
      </w:r>
      <w:r w:rsidRPr="00DD3529">
        <w:rPr>
          <w:rFonts w:asciiTheme="minorHAnsi" w:hAnsiTheme="minorHAnsi"/>
          <w:szCs w:val="22"/>
          <w:lang w:val="es-AR"/>
        </w:rPr>
        <w:t xml:space="preserve">Sucede que en Brasil al igual que en otros países del Mercosur, los instrumentos con que se contaba eran insuficientes e inadecuados como se ve en el ejemplo referido al Código Penal de 1940 </w:t>
      </w:r>
      <w:r w:rsidRPr="00DD3529">
        <w:rPr>
          <w:rFonts w:asciiTheme="minorHAnsi" w:hAnsiTheme="minorHAnsi"/>
          <w:szCs w:val="22"/>
          <w:lang w:val="es-AR" w:eastAsia="es-AR"/>
        </w:rPr>
        <w:t xml:space="preserve">(Benavente y Valdés, 2014: 27) </w:t>
      </w:r>
      <w:r w:rsidRPr="00DD3529">
        <w:rPr>
          <w:rFonts w:asciiTheme="minorHAnsi" w:hAnsiTheme="minorHAnsi"/>
          <w:szCs w:val="22"/>
          <w:lang w:val="es-AR"/>
        </w:rPr>
        <w:t>que exculpaba a los perpetradores de violencia sexual si estos se casaban con sus víctimas. Tal situación jurídica se revirtió en Uruguay mediante la Ley 17.938 del año 2005, que derogó el artículo 116 del Código Penal referido a la "Extinción de determinados delitos por matrimonio del ofensor con la ofendida".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D64A5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8CD338C"/>
    <w:multiLevelType w:val="hybridMultilevel"/>
    <w:tmpl w:val="F5D48486"/>
    <w:lvl w:ilvl="0" w:tplc="CA1C36F6">
      <w:start w:val="1"/>
      <w:numFmt w:val="lowerLetter"/>
      <w:lvlText w:val="(%1)"/>
      <w:lvlJc w:val="left"/>
      <w:pPr>
        <w:ind w:left="1756" w:hanging="1050"/>
      </w:pPr>
      <w:rPr>
        <w:rFonts w:cs="Times New Roman" w:hint="default"/>
      </w:rPr>
    </w:lvl>
    <w:lvl w:ilvl="1" w:tplc="2C0A0019" w:tentative="1">
      <w:start w:val="1"/>
      <w:numFmt w:val="lowerLetter"/>
      <w:lvlText w:val="%2."/>
      <w:lvlJc w:val="left"/>
      <w:pPr>
        <w:ind w:left="1786" w:hanging="360"/>
      </w:pPr>
      <w:rPr>
        <w:rFonts w:cs="Times New Roman"/>
      </w:rPr>
    </w:lvl>
    <w:lvl w:ilvl="2" w:tplc="2C0A001B" w:tentative="1">
      <w:start w:val="1"/>
      <w:numFmt w:val="lowerRoman"/>
      <w:lvlText w:val="%3."/>
      <w:lvlJc w:val="right"/>
      <w:pPr>
        <w:ind w:left="2506" w:hanging="180"/>
      </w:pPr>
      <w:rPr>
        <w:rFonts w:cs="Times New Roman"/>
      </w:rPr>
    </w:lvl>
    <w:lvl w:ilvl="3" w:tplc="2C0A000F" w:tentative="1">
      <w:start w:val="1"/>
      <w:numFmt w:val="decimal"/>
      <w:lvlText w:val="%4."/>
      <w:lvlJc w:val="left"/>
      <w:pPr>
        <w:ind w:left="3226" w:hanging="360"/>
      </w:pPr>
      <w:rPr>
        <w:rFonts w:cs="Times New Roman"/>
      </w:rPr>
    </w:lvl>
    <w:lvl w:ilvl="4" w:tplc="2C0A0019" w:tentative="1">
      <w:start w:val="1"/>
      <w:numFmt w:val="lowerLetter"/>
      <w:lvlText w:val="%5."/>
      <w:lvlJc w:val="left"/>
      <w:pPr>
        <w:ind w:left="3946" w:hanging="360"/>
      </w:pPr>
      <w:rPr>
        <w:rFonts w:cs="Times New Roman"/>
      </w:rPr>
    </w:lvl>
    <w:lvl w:ilvl="5" w:tplc="2C0A001B" w:tentative="1">
      <w:start w:val="1"/>
      <w:numFmt w:val="lowerRoman"/>
      <w:lvlText w:val="%6."/>
      <w:lvlJc w:val="right"/>
      <w:pPr>
        <w:ind w:left="4666" w:hanging="180"/>
      </w:pPr>
      <w:rPr>
        <w:rFonts w:cs="Times New Roman"/>
      </w:rPr>
    </w:lvl>
    <w:lvl w:ilvl="6" w:tplc="2C0A000F" w:tentative="1">
      <w:start w:val="1"/>
      <w:numFmt w:val="decimal"/>
      <w:lvlText w:val="%7."/>
      <w:lvlJc w:val="left"/>
      <w:pPr>
        <w:ind w:left="5386" w:hanging="360"/>
      </w:pPr>
      <w:rPr>
        <w:rFonts w:cs="Times New Roman"/>
      </w:rPr>
    </w:lvl>
    <w:lvl w:ilvl="7" w:tplc="2C0A0019" w:tentative="1">
      <w:start w:val="1"/>
      <w:numFmt w:val="lowerLetter"/>
      <w:lvlText w:val="%8."/>
      <w:lvlJc w:val="left"/>
      <w:pPr>
        <w:ind w:left="6106" w:hanging="360"/>
      </w:pPr>
      <w:rPr>
        <w:rFonts w:cs="Times New Roman"/>
      </w:rPr>
    </w:lvl>
    <w:lvl w:ilvl="8" w:tplc="2C0A001B" w:tentative="1">
      <w:start w:val="1"/>
      <w:numFmt w:val="lowerRoman"/>
      <w:lvlText w:val="%9."/>
      <w:lvlJc w:val="right"/>
      <w:pPr>
        <w:ind w:left="6826" w:hanging="180"/>
      </w:pPr>
      <w:rPr>
        <w:rFonts w:cs="Times New Roman"/>
      </w:rPr>
    </w:lvl>
  </w:abstractNum>
  <w:abstractNum w:abstractNumId="2" w15:restartNumberingAfterBreak="0">
    <w:nsid w:val="5F6E583E"/>
    <w:multiLevelType w:val="hybridMultilevel"/>
    <w:tmpl w:val="4A6CA4D2"/>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2"/>
  </w:num>
  <w:num w:numId="6">
    <w:abstractNumId w:val="3"/>
  </w:num>
  <w:num w:numId="7">
    <w:abstractNumId w:val="0"/>
  </w:num>
  <w:num w:numId="8">
    <w:abstractNumId w:val="2"/>
  </w:num>
  <w:num w:numId="9">
    <w:abstractNumId w:val="2"/>
  </w:num>
  <w:num w:numId="10">
    <w:abstractNumId w:val="2"/>
  </w:num>
  <w:num w:numId="11">
    <w:abstractNumId w:val="2"/>
  </w:num>
  <w:num w:numId="12">
    <w:abstractNumId w:val="1"/>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776"/>
    <w:rsid w:val="000102F1"/>
    <w:rsid w:val="00021E03"/>
    <w:rsid w:val="00022B09"/>
    <w:rsid w:val="00024234"/>
    <w:rsid w:val="0002507A"/>
    <w:rsid w:val="00037A0D"/>
    <w:rsid w:val="00042193"/>
    <w:rsid w:val="00050E67"/>
    <w:rsid w:val="00052AAB"/>
    <w:rsid w:val="000778EC"/>
    <w:rsid w:val="0008724C"/>
    <w:rsid w:val="000945F9"/>
    <w:rsid w:val="000B3D13"/>
    <w:rsid w:val="000D4E21"/>
    <w:rsid w:val="000D7D50"/>
    <w:rsid w:val="000E08B3"/>
    <w:rsid w:val="0011172D"/>
    <w:rsid w:val="001324AC"/>
    <w:rsid w:val="00133D7F"/>
    <w:rsid w:val="001479C9"/>
    <w:rsid w:val="001504FD"/>
    <w:rsid w:val="00151C20"/>
    <w:rsid w:val="00167454"/>
    <w:rsid w:val="0017505C"/>
    <w:rsid w:val="00177289"/>
    <w:rsid w:val="001861C6"/>
    <w:rsid w:val="0019328C"/>
    <w:rsid w:val="001A7A96"/>
    <w:rsid w:val="001C0B5F"/>
    <w:rsid w:val="001C39D6"/>
    <w:rsid w:val="001C4866"/>
    <w:rsid w:val="00221713"/>
    <w:rsid w:val="0022774B"/>
    <w:rsid w:val="0023181B"/>
    <w:rsid w:val="00237AA8"/>
    <w:rsid w:val="00252E7B"/>
    <w:rsid w:val="00253000"/>
    <w:rsid w:val="00281220"/>
    <w:rsid w:val="002A1F91"/>
    <w:rsid w:val="002B117A"/>
    <w:rsid w:val="002C312B"/>
    <w:rsid w:val="002C4339"/>
    <w:rsid w:val="002C47DE"/>
    <w:rsid w:val="002D0877"/>
    <w:rsid w:val="002E095C"/>
    <w:rsid w:val="002E2543"/>
    <w:rsid w:val="002E53E3"/>
    <w:rsid w:val="002F0B80"/>
    <w:rsid w:val="002F453E"/>
    <w:rsid w:val="00317798"/>
    <w:rsid w:val="00321352"/>
    <w:rsid w:val="003334FD"/>
    <w:rsid w:val="00343FD2"/>
    <w:rsid w:val="003444E4"/>
    <w:rsid w:val="00346A4A"/>
    <w:rsid w:val="003627F0"/>
    <w:rsid w:val="00363DD8"/>
    <w:rsid w:val="00367D90"/>
    <w:rsid w:val="00371978"/>
    <w:rsid w:val="003744F9"/>
    <w:rsid w:val="00381265"/>
    <w:rsid w:val="003813B1"/>
    <w:rsid w:val="0038207B"/>
    <w:rsid w:val="00383E05"/>
    <w:rsid w:val="00396467"/>
    <w:rsid w:val="003A2FC0"/>
    <w:rsid w:val="003A30E4"/>
    <w:rsid w:val="003A3822"/>
    <w:rsid w:val="003B22DC"/>
    <w:rsid w:val="003B7F56"/>
    <w:rsid w:val="003C16C3"/>
    <w:rsid w:val="003C2E0D"/>
    <w:rsid w:val="003E2A67"/>
    <w:rsid w:val="00414BD6"/>
    <w:rsid w:val="004468DD"/>
    <w:rsid w:val="004525F7"/>
    <w:rsid w:val="00456272"/>
    <w:rsid w:val="004602F4"/>
    <w:rsid w:val="0046312B"/>
    <w:rsid w:val="00476EF2"/>
    <w:rsid w:val="00495B80"/>
    <w:rsid w:val="004964BB"/>
    <w:rsid w:val="004A4444"/>
    <w:rsid w:val="004B0766"/>
    <w:rsid w:val="004C39CC"/>
    <w:rsid w:val="004D2E24"/>
    <w:rsid w:val="004E1BD0"/>
    <w:rsid w:val="0051225E"/>
    <w:rsid w:val="005242CD"/>
    <w:rsid w:val="005254A3"/>
    <w:rsid w:val="00537776"/>
    <w:rsid w:val="0053784D"/>
    <w:rsid w:val="0055144B"/>
    <w:rsid w:val="0055635A"/>
    <w:rsid w:val="00567554"/>
    <w:rsid w:val="0057343F"/>
    <w:rsid w:val="0057526A"/>
    <w:rsid w:val="005836B9"/>
    <w:rsid w:val="00585778"/>
    <w:rsid w:val="0058679D"/>
    <w:rsid w:val="005930CD"/>
    <w:rsid w:val="00597BF1"/>
    <w:rsid w:val="005A1F12"/>
    <w:rsid w:val="005E22A0"/>
    <w:rsid w:val="005F414E"/>
    <w:rsid w:val="005F6701"/>
    <w:rsid w:val="005F7EAF"/>
    <w:rsid w:val="00623192"/>
    <w:rsid w:val="00631C4C"/>
    <w:rsid w:val="00633140"/>
    <w:rsid w:val="00672D83"/>
    <w:rsid w:val="006928B1"/>
    <w:rsid w:val="006A2839"/>
    <w:rsid w:val="006B7433"/>
    <w:rsid w:val="006C0EC1"/>
    <w:rsid w:val="006C4A19"/>
    <w:rsid w:val="006F0C28"/>
    <w:rsid w:val="006F26B3"/>
    <w:rsid w:val="006F45B6"/>
    <w:rsid w:val="006F4A8C"/>
    <w:rsid w:val="006F7B3A"/>
    <w:rsid w:val="0071574B"/>
    <w:rsid w:val="00716A08"/>
    <w:rsid w:val="00725C07"/>
    <w:rsid w:val="00730BB2"/>
    <w:rsid w:val="0074151E"/>
    <w:rsid w:val="00741801"/>
    <w:rsid w:val="0074255C"/>
    <w:rsid w:val="007443C0"/>
    <w:rsid w:val="00750476"/>
    <w:rsid w:val="00754DC1"/>
    <w:rsid w:val="00757D3F"/>
    <w:rsid w:val="00767BE6"/>
    <w:rsid w:val="00772044"/>
    <w:rsid w:val="00781817"/>
    <w:rsid w:val="00797F5C"/>
    <w:rsid w:val="007A0A81"/>
    <w:rsid w:val="007A4790"/>
    <w:rsid w:val="007A47C1"/>
    <w:rsid w:val="007B32ED"/>
    <w:rsid w:val="007B6C64"/>
    <w:rsid w:val="007B70FB"/>
    <w:rsid w:val="007C3B01"/>
    <w:rsid w:val="007D0EA1"/>
    <w:rsid w:val="007E42A6"/>
    <w:rsid w:val="007E66B0"/>
    <w:rsid w:val="00814F24"/>
    <w:rsid w:val="00822173"/>
    <w:rsid w:val="00825DA5"/>
    <w:rsid w:val="00837358"/>
    <w:rsid w:val="008548DD"/>
    <w:rsid w:val="008565D2"/>
    <w:rsid w:val="00866E18"/>
    <w:rsid w:val="0087360E"/>
    <w:rsid w:val="00880B3D"/>
    <w:rsid w:val="00885381"/>
    <w:rsid w:val="00886E0B"/>
    <w:rsid w:val="008A49A7"/>
    <w:rsid w:val="008A4BF7"/>
    <w:rsid w:val="008C75CC"/>
    <w:rsid w:val="008D0007"/>
    <w:rsid w:val="009054E8"/>
    <w:rsid w:val="009059F7"/>
    <w:rsid w:val="00917D43"/>
    <w:rsid w:val="00924D94"/>
    <w:rsid w:val="0092785B"/>
    <w:rsid w:val="00927E97"/>
    <w:rsid w:val="00952273"/>
    <w:rsid w:val="00954EBE"/>
    <w:rsid w:val="0095578F"/>
    <w:rsid w:val="00970667"/>
    <w:rsid w:val="0098066B"/>
    <w:rsid w:val="009845E2"/>
    <w:rsid w:val="0098637C"/>
    <w:rsid w:val="0098648E"/>
    <w:rsid w:val="009942EE"/>
    <w:rsid w:val="00997F59"/>
    <w:rsid w:val="009A562E"/>
    <w:rsid w:val="009A654F"/>
    <w:rsid w:val="009B3854"/>
    <w:rsid w:val="009C5D92"/>
    <w:rsid w:val="009C7404"/>
    <w:rsid w:val="009C7C1A"/>
    <w:rsid w:val="009D60D6"/>
    <w:rsid w:val="009E2EAB"/>
    <w:rsid w:val="009F2809"/>
    <w:rsid w:val="00A01334"/>
    <w:rsid w:val="00A16977"/>
    <w:rsid w:val="00A36B13"/>
    <w:rsid w:val="00A431FE"/>
    <w:rsid w:val="00A44F58"/>
    <w:rsid w:val="00A50999"/>
    <w:rsid w:val="00A51CA8"/>
    <w:rsid w:val="00A676A6"/>
    <w:rsid w:val="00A75495"/>
    <w:rsid w:val="00A77900"/>
    <w:rsid w:val="00A83AC1"/>
    <w:rsid w:val="00A91581"/>
    <w:rsid w:val="00A976A6"/>
    <w:rsid w:val="00AA7C48"/>
    <w:rsid w:val="00AA7CB2"/>
    <w:rsid w:val="00AA7D5C"/>
    <w:rsid w:val="00AB0472"/>
    <w:rsid w:val="00AB3FD3"/>
    <w:rsid w:val="00AB42FA"/>
    <w:rsid w:val="00AB6D04"/>
    <w:rsid w:val="00AC4705"/>
    <w:rsid w:val="00AE0AEB"/>
    <w:rsid w:val="00AE13CF"/>
    <w:rsid w:val="00AE5F1E"/>
    <w:rsid w:val="00AF440C"/>
    <w:rsid w:val="00B11313"/>
    <w:rsid w:val="00B42C32"/>
    <w:rsid w:val="00B50205"/>
    <w:rsid w:val="00B5072F"/>
    <w:rsid w:val="00B55A8E"/>
    <w:rsid w:val="00B6201C"/>
    <w:rsid w:val="00B64698"/>
    <w:rsid w:val="00B649D1"/>
    <w:rsid w:val="00B87B0C"/>
    <w:rsid w:val="00B92F3E"/>
    <w:rsid w:val="00BA5926"/>
    <w:rsid w:val="00BD7B1C"/>
    <w:rsid w:val="00BE2A0C"/>
    <w:rsid w:val="00BF1C75"/>
    <w:rsid w:val="00BF3B8B"/>
    <w:rsid w:val="00C250AC"/>
    <w:rsid w:val="00C31753"/>
    <w:rsid w:val="00C353A8"/>
    <w:rsid w:val="00C50915"/>
    <w:rsid w:val="00C56F1C"/>
    <w:rsid w:val="00C83C08"/>
    <w:rsid w:val="00C84005"/>
    <w:rsid w:val="00CA20A3"/>
    <w:rsid w:val="00CA4662"/>
    <w:rsid w:val="00CA5CC9"/>
    <w:rsid w:val="00CC256B"/>
    <w:rsid w:val="00CC58B6"/>
    <w:rsid w:val="00CD0893"/>
    <w:rsid w:val="00CE2A4E"/>
    <w:rsid w:val="00CE581E"/>
    <w:rsid w:val="00D00625"/>
    <w:rsid w:val="00D016C4"/>
    <w:rsid w:val="00D02108"/>
    <w:rsid w:val="00D04753"/>
    <w:rsid w:val="00D06B95"/>
    <w:rsid w:val="00D07D45"/>
    <w:rsid w:val="00D22063"/>
    <w:rsid w:val="00D22D84"/>
    <w:rsid w:val="00D350B7"/>
    <w:rsid w:val="00D364F7"/>
    <w:rsid w:val="00D53DB4"/>
    <w:rsid w:val="00D6469D"/>
    <w:rsid w:val="00D80AF8"/>
    <w:rsid w:val="00D867C7"/>
    <w:rsid w:val="00D86D7F"/>
    <w:rsid w:val="00DB6E14"/>
    <w:rsid w:val="00DD3529"/>
    <w:rsid w:val="00DD3B94"/>
    <w:rsid w:val="00DE0BE1"/>
    <w:rsid w:val="00DE5DF7"/>
    <w:rsid w:val="00E11C2F"/>
    <w:rsid w:val="00E21BC9"/>
    <w:rsid w:val="00E25204"/>
    <w:rsid w:val="00E336A8"/>
    <w:rsid w:val="00E41F21"/>
    <w:rsid w:val="00E67858"/>
    <w:rsid w:val="00E71BB3"/>
    <w:rsid w:val="00E72404"/>
    <w:rsid w:val="00E72998"/>
    <w:rsid w:val="00E77309"/>
    <w:rsid w:val="00E82AD4"/>
    <w:rsid w:val="00E871C4"/>
    <w:rsid w:val="00E874D1"/>
    <w:rsid w:val="00EB118A"/>
    <w:rsid w:val="00EB4EED"/>
    <w:rsid w:val="00EF6208"/>
    <w:rsid w:val="00F00496"/>
    <w:rsid w:val="00F20AA2"/>
    <w:rsid w:val="00F215A8"/>
    <w:rsid w:val="00F42BBE"/>
    <w:rsid w:val="00F43A58"/>
    <w:rsid w:val="00F77FF2"/>
    <w:rsid w:val="00F84CBE"/>
    <w:rsid w:val="00FC20C1"/>
    <w:rsid w:val="00FC3494"/>
    <w:rsid w:val="00FC6A85"/>
    <w:rsid w:val="00FD25B0"/>
    <w:rsid w:val="00FE0D2A"/>
    <w:rsid w:val="00FE6D53"/>
    <w:rsid w:val="00FF0F92"/>
    <w:rsid w:val="00FF27CB"/>
    <w:rsid w:val="00FF6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CD9CFF-FE24-47A1-B2B2-740E587F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1861C6"/>
    <w:pPr>
      <w:numPr>
        <w:numId w:val="3"/>
      </w:numPr>
      <w:spacing w:before="480" w:after="240" w:line="276" w:lineRule="auto"/>
    </w:pPr>
    <w:rPr>
      <w:rFonts w:ascii="Geogrotesque Rg" w:eastAsia="MS Mincho" w:hAnsi="Geogrotesque Rg" w:cs="Times New Roman"/>
      <w:b/>
      <w:bCs/>
      <w:i/>
      <w:color w:val="000000"/>
      <w:sz w:val="32"/>
      <w:szCs w:val="28"/>
      <w:lang w:val="es-ES" w:eastAsia="es-ES"/>
    </w:rPr>
  </w:style>
  <w:style w:type="character" w:customStyle="1" w:styleId="31Subttulo1Char">
    <w:name w:val="3.1 / Subtítulo 1 Char"/>
    <w:link w:val="31Subttulo1"/>
    <w:uiPriority w:val="99"/>
    <w:locked/>
    <w:rsid w:val="001861C6"/>
    <w:rPr>
      <w:rFonts w:ascii="Geogrotesque Rg" w:eastAsia="MS Mincho" w:hAnsi="Geogrotesque Rg"/>
      <w:b/>
      <w:i/>
      <w:color w:val="000000"/>
      <w:sz w:val="28"/>
      <w:lang w:val="es-ES" w:eastAsia="es-ES"/>
    </w:rPr>
  </w:style>
  <w:style w:type="paragraph" w:customStyle="1" w:styleId="1Ttulodeltrabajo">
    <w:name w:val="1 / Título del trabajo"/>
    <w:uiPriority w:val="99"/>
    <w:rsid w:val="001861C6"/>
    <w:pPr>
      <w:pageBreakBefore/>
      <w:spacing w:after="240"/>
    </w:pPr>
    <w:rPr>
      <w:rFonts w:ascii="Geogrotesque Rg" w:eastAsia="MS Mincho" w:hAnsi="Geogrotesque Rg" w:cs="Times New Roman"/>
      <w:bCs/>
      <w:i/>
      <w:color w:val="C00000"/>
      <w:sz w:val="44"/>
      <w:szCs w:val="32"/>
      <w:lang w:eastAsia="es-ES"/>
    </w:rPr>
  </w:style>
  <w:style w:type="paragraph" w:customStyle="1" w:styleId="2aAutordecaptulo">
    <w:name w:val="2.a / Autor de capítulo"/>
    <w:uiPriority w:val="99"/>
    <w:rsid w:val="009942EE"/>
    <w:pPr>
      <w:widowControl w:val="0"/>
      <w:pBdr>
        <w:bottom w:val="dotted" w:sz="4" w:space="8" w:color="auto"/>
      </w:pBdr>
      <w:overflowPunct w:val="0"/>
      <w:adjustRightInd w:val="0"/>
      <w:spacing w:after="120"/>
      <w:ind w:left="14"/>
      <w:outlineLvl w:val="0"/>
    </w:pPr>
    <w:rPr>
      <w:rFonts w:ascii="Cambria" w:eastAsia="MS Mincho" w:hAnsi="Cambria" w:cs="Times New Roman"/>
      <w:i/>
      <w:iCs/>
      <w:kern w:val="28"/>
      <w:sz w:val="22"/>
      <w:szCs w:val="28"/>
      <w:lang w:val="es-ES"/>
    </w:rPr>
  </w:style>
  <w:style w:type="paragraph" w:customStyle="1" w:styleId="2bCitacomienzodecaptulo">
    <w:name w:val="2.b / Cita comienzo de capítulo"/>
    <w:uiPriority w:val="99"/>
    <w:rsid w:val="00AC4705"/>
    <w:pPr>
      <w:widowControl w:val="0"/>
      <w:pBdr>
        <w:bottom w:val="dotted" w:sz="4" w:space="8" w:color="auto"/>
      </w:pBdr>
      <w:spacing w:before="120" w:after="120" w:line="360" w:lineRule="auto"/>
      <w:ind w:firstLine="706"/>
      <w:jc w:val="right"/>
      <w:outlineLvl w:val="1"/>
    </w:pPr>
    <w:rPr>
      <w:rFonts w:ascii="Cambria" w:eastAsia="MS Mincho" w:hAnsi="Cambria"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widowControl w:val="0"/>
      <w:spacing w:before="100" w:beforeAutospacing="1" w:after="240" w:line="300" w:lineRule="auto"/>
      <w:ind w:firstLine="706"/>
      <w:contextualSpacing/>
      <w:jc w:val="both"/>
      <w:outlineLvl w:val="0"/>
    </w:pPr>
    <w:rPr>
      <w:rFonts w:ascii="Cambria" w:eastAsia="MS Mincho" w:hAnsi="Cambria"/>
      <w:b/>
      <w:bCs/>
      <w:color w:val="000000"/>
      <w:sz w:val="24"/>
      <w:szCs w:val="24"/>
      <w:lang w:val="es-ES"/>
    </w:rPr>
  </w:style>
  <w:style w:type="paragraph" w:customStyle="1" w:styleId="34Subttulo4">
    <w:name w:val="3.4 / Subtítulo 4"/>
    <w:basedOn w:val="Normal"/>
    <w:uiPriority w:val="99"/>
    <w:rsid w:val="00AC4705"/>
    <w:pPr>
      <w:widowControl w:val="0"/>
      <w:spacing w:after="120" w:line="300" w:lineRule="auto"/>
      <w:ind w:firstLine="706"/>
      <w:contextualSpacing/>
      <w:jc w:val="both"/>
      <w:outlineLvl w:val="0"/>
    </w:pPr>
    <w:rPr>
      <w:rFonts w:ascii="Cambria" w:eastAsia="MS Mincho" w:hAnsi="Cambria"/>
      <w:b/>
      <w:bCs/>
      <w:i/>
      <w:iCs/>
      <w:color w:val="000000"/>
      <w:sz w:val="22"/>
      <w:szCs w:val="24"/>
      <w:lang w:val="es-ES"/>
    </w:rPr>
  </w:style>
  <w:style w:type="paragraph" w:customStyle="1" w:styleId="35Subttulobibliobiografa">
    <w:name w:val="3.5 / Subtítulo biblio/bio/grafía"/>
    <w:basedOn w:val="Normal"/>
    <w:uiPriority w:val="99"/>
    <w:rsid w:val="00AC4705"/>
    <w:pPr>
      <w:pageBreakBefore/>
      <w:widowControl w:val="0"/>
      <w:spacing w:after="240" w:line="300" w:lineRule="auto"/>
      <w:ind w:left="567" w:hanging="567"/>
      <w:contextualSpacing/>
      <w:jc w:val="both"/>
    </w:pPr>
    <w:rPr>
      <w:rFonts w:ascii="Cambria" w:eastAsia="MS Mincho" w:hAnsi="Cambria"/>
      <w:b/>
      <w:bCs/>
      <w:color w:val="000000"/>
      <w:sz w:val="28"/>
      <w:szCs w:val="28"/>
      <w:lang w:val="es-ES"/>
    </w:rPr>
  </w:style>
  <w:style w:type="paragraph" w:customStyle="1" w:styleId="4Textocentral">
    <w:name w:val="4 / Texto central"/>
    <w:basedOn w:val="Normal"/>
    <w:link w:val="4TextocentralCarCar"/>
    <w:uiPriority w:val="99"/>
    <w:rsid w:val="00750476"/>
    <w:pPr>
      <w:widowControl w:val="0"/>
      <w:spacing w:line="300" w:lineRule="auto"/>
      <w:ind w:firstLine="706"/>
      <w:contextualSpacing/>
      <w:jc w:val="both"/>
    </w:pPr>
    <w:rPr>
      <w:rFonts w:ascii="Cambria" w:eastAsia="MS Mincho" w:hAnsi="Cambria"/>
      <w:color w:val="000000"/>
      <w:sz w:val="24"/>
      <w:lang w:val="es-ES"/>
    </w:rPr>
  </w:style>
  <w:style w:type="character" w:customStyle="1" w:styleId="4TextocentralCarCar">
    <w:name w:val="4 / Texto central Car Car"/>
    <w:link w:val="4Textocentral"/>
    <w:uiPriority w:val="99"/>
    <w:locked/>
    <w:rsid w:val="00750476"/>
    <w:rPr>
      <w:rFonts w:ascii="Cambria" w:eastAsia="MS Mincho" w:hAnsi="Cambria"/>
      <w:color w:val="000000"/>
      <w:sz w:val="24"/>
      <w:lang w:val="es-ES" w:eastAsia="es-ES"/>
    </w:rPr>
  </w:style>
  <w:style w:type="paragraph" w:customStyle="1" w:styleId="5Citaenprrafoaparte">
    <w:name w:val="5 / Cita en párrafo aparte"/>
    <w:link w:val="5CitaenprrafoaparteCarCar"/>
    <w:uiPriority w:val="99"/>
    <w:rsid w:val="00537776"/>
    <w:pPr>
      <w:spacing w:before="240" w:after="240"/>
      <w:ind w:left="851" w:right="851"/>
    </w:pPr>
    <w:rPr>
      <w:rFonts w:eastAsia="MS Mincho"/>
      <w:color w:val="000000"/>
      <w:lang w:val="es-ES"/>
    </w:rPr>
  </w:style>
  <w:style w:type="character" w:customStyle="1" w:styleId="5CitaenprrafoaparteCarCar">
    <w:name w:val="5 / Cita en párrafo aparte Car Car"/>
    <w:link w:val="5Citaenprrafoaparte"/>
    <w:uiPriority w:val="99"/>
    <w:locked/>
    <w:rsid w:val="00537776"/>
    <w:rPr>
      <w:rFonts w:eastAsia="MS Mincho"/>
      <w:color w:val="000000"/>
      <w:lang w:val="es-ES" w:eastAsia="es-AR"/>
    </w:rPr>
  </w:style>
  <w:style w:type="paragraph" w:styleId="Bibliografa">
    <w:name w:val="Bibliography"/>
    <w:basedOn w:val="Normal"/>
    <w:link w:val="BibliografaCar"/>
    <w:uiPriority w:val="99"/>
    <w:rsid w:val="00537776"/>
    <w:pPr>
      <w:widowControl w:val="0"/>
      <w:spacing w:before="240" w:after="240"/>
      <w:ind w:left="561" w:hanging="561"/>
      <w:jc w:val="both"/>
    </w:pPr>
    <w:rPr>
      <w:rFonts w:ascii="Calibri" w:eastAsia="MS Mincho" w:hAnsi="Calibri"/>
      <w:color w:val="000000"/>
      <w:sz w:val="24"/>
      <w:lang w:val="de-DE" w:eastAsia="es-AR"/>
    </w:rPr>
  </w:style>
  <w:style w:type="character" w:customStyle="1" w:styleId="BibliografaCar">
    <w:name w:val="Bibliografía Car"/>
    <w:link w:val="Bibliografa"/>
    <w:uiPriority w:val="99"/>
    <w:locked/>
    <w:rsid w:val="00537776"/>
    <w:rPr>
      <w:rFonts w:eastAsia="MS Mincho"/>
      <w:color w:val="000000"/>
      <w:sz w:val="24"/>
      <w:lang w:val="de-DE" w:eastAsia="x-non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widowControl w:val="0"/>
      <w:spacing w:before="480" w:after="240" w:line="300" w:lineRule="auto"/>
      <w:ind w:firstLine="706"/>
      <w:contextualSpacing/>
      <w:jc w:val="both"/>
    </w:pPr>
    <w:rPr>
      <w:rFonts w:ascii="Calibri" w:eastAsia="MS Mincho" w:hAnsi="Calibri"/>
      <w:i/>
      <w:color w:val="000000"/>
      <w:lang w:val="es-AR"/>
    </w:rPr>
  </w:style>
  <w:style w:type="paragraph" w:customStyle="1" w:styleId="Palabrasclave">
    <w:name w:val="Palabras clave"/>
    <w:qFormat/>
    <w:rsid w:val="00AC4705"/>
    <w:pPr>
      <w:widowControl w:val="0"/>
      <w:numPr>
        <w:numId w:val="4"/>
      </w:numPr>
      <w:spacing w:after="360" w:line="360" w:lineRule="auto"/>
      <w:contextualSpacing/>
    </w:pPr>
    <w:rPr>
      <w:rFonts w:ascii="Cambria" w:hAnsi="Cambria" w:cs="Times New Roman"/>
      <w:i/>
      <w:iCs/>
      <w:color w:val="404040"/>
      <w:sz w:val="22"/>
      <w:szCs w:val="22"/>
      <w:lang w:val="es-ES" w:eastAsia="en-US"/>
    </w:rPr>
  </w:style>
  <w:style w:type="paragraph" w:customStyle="1" w:styleId="Tablas-cuadrosencabezado">
    <w:name w:val="Tablas-cuadros encabezado"/>
    <w:basedOn w:val="Normal"/>
    <w:uiPriority w:val="99"/>
    <w:rsid w:val="00AC4705"/>
    <w:pPr>
      <w:widowControl w:val="0"/>
      <w:spacing w:after="240" w:line="300" w:lineRule="auto"/>
      <w:ind w:firstLine="706"/>
      <w:contextualSpacing/>
      <w:jc w:val="both"/>
    </w:pPr>
    <w:rPr>
      <w:rFonts w:ascii="Arial" w:eastAsia="MS Mincho" w:hAnsi="Arial" w:cs="Arial"/>
      <w:b/>
      <w:bCs/>
      <w:color w:val="000000"/>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widowControl w:val="0"/>
      <w:spacing w:after="240" w:line="300" w:lineRule="auto"/>
      <w:ind w:firstLine="706"/>
      <w:contextualSpacing/>
      <w:jc w:val="both"/>
    </w:pPr>
    <w:rPr>
      <w:rFonts w:ascii="Arial" w:eastAsia="MS Mincho" w:hAnsi="Arial" w:cs="Arial"/>
      <w:color w:val="000000"/>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pPr>
      <w:spacing w:line="240" w:lineRule="auto"/>
    </w:pPr>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character" w:customStyle="1" w:styleId="CitaCar">
    <w:name w:val="Cita Car"/>
    <w:basedOn w:val="Fuentedeprrafopredeter"/>
    <w:link w:val="Cita"/>
    <w:uiPriority w:val="73"/>
    <w:locked/>
    <w:rsid w:val="00537776"/>
    <w:rPr>
      <w:rFonts w:ascii="Times New Roman" w:hAnsi="Times New Roman" w:cs="Times New Roman"/>
      <w:i/>
      <w:iCs/>
      <w:color w:val="000000"/>
    </w:rPr>
  </w:style>
  <w:style w:type="paragraph" w:styleId="Piedepgina">
    <w:name w:val="footer"/>
    <w:basedOn w:val="Normal"/>
    <w:link w:val="PiedepginaCar"/>
    <w:uiPriority w:val="99"/>
    <w:unhideWhenUsed/>
    <w:rsid w:val="00A75495"/>
    <w:pPr>
      <w:widowControl w:val="0"/>
      <w:tabs>
        <w:tab w:val="center" w:pos="4419"/>
        <w:tab w:val="right" w:pos="8838"/>
      </w:tabs>
      <w:suppressAutoHyphens/>
    </w:pPr>
    <w:rPr>
      <w:sz w:val="24"/>
      <w:szCs w:val="24"/>
      <w:lang w:val="en-GB" w:eastAsia="zh-CN"/>
    </w:rPr>
  </w:style>
  <w:style w:type="character" w:customStyle="1" w:styleId="PiedepginaCar">
    <w:name w:val="Pie de página Car"/>
    <w:basedOn w:val="Fuentedeprrafopredeter"/>
    <w:link w:val="Piedepgina"/>
    <w:uiPriority w:val="99"/>
    <w:locked/>
    <w:rsid w:val="00A75495"/>
    <w:rPr>
      <w:rFonts w:ascii="Times New Roman" w:hAnsi="Times New Roman" w:cs="Times New Roman"/>
      <w:sz w:val="24"/>
      <w:szCs w:val="24"/>
      <w:lang w:val="en-GB" w:eastAsia="zh-CN"/>
    </w:rPr>
  </w:style>
  <w:style w:type="paragraph" w:styleId="Textonotapie">
    <w:name w:val="footnote text"/>
    <w:basedOn w:val="Normal"/>
    <w:link w:val="TextonotapieCar"/>
    <w:uiPriority w:val="99"/>
    <w:semiHidden/>
    <w:rsid w:val="0092785B"/>
    <w:pPr>
      <w:widowControl w:val="0"/>
      <w:suppressAutoHyphens/>
    </w:pPr>
    <w:rPr>
      <w:lang w:val="en-GB" w:eastAsia="zh-CN"/>
    </w:rPr>
  </w:style>
  <w:style w:type="character" w:customStyle="1" w:styleId="TextonotapieCar">
    <w:name w:val="Texto nota pie Car"/>
    <w:basedOn w:val="Fuentedeprrafopredeter"/>
    <w:link w:val="Textonotapie"/>
    <w:uiPriority w:val="99"/>
    <w:semiHidden/>
    <w:locked/>
    <w:rsid w:val="0092785B"/>
    <w:rPr>
      <w:rFonts w:ascii="Times New Roman" w:hAnsi="Times New Roman" w:cs="Times New Roman"/>
      <w:lang w:val="en-GB" w:eastAsia="zh-CN"/>
    </w:rPr>
  </w:style>
  <w:style w:type="character" w:styleId="Refdenotaalpie">
    <w:name w:val="footnote reference"/>
    <w:basedOn w:val="Fuentedeprrafopredeter"/>
    <w:uiPriority w:val="99"/>
    <w:semiHidden/>
    <w:rsid w:val="0092785B"/>
    <w:rPr>
      <w:rFonts w:cs="Times New Roman"/>
      <w:vertAlign w:val="superscript"/>
    </w:rPr>
  </w:style>
  <w:style w:type="paragraph" w:styleId="Encabezado">
    <w:name w:val="header"/>
    <w:basedOn w:val="Normal"/>
    <w:link w:val="EncabezadoCar"/>
    <w:uiPriority w:val="99"/>
    <w:semiHidden/>
    <w:unhideWhenUsed/>
    <w:rsid w:val="00E871C4"/>
    <w:pPr>
      <w:tabs>
        <w:tab w:val="center" w:pos="4419"/>
        <w:tab w:val="right" w:pos="8838"/>
      </w:tabs>
    </w:pPr>
  </w:style>
  <w:style w:type="character" w:customStyle="1" w:styleId="EncabezadoCar">
    <w:name w:val="Encabezado Car"/>
    <w:basedOn w:val="Fuentedeprrafopredeter"/>
    <w:link w:val="Encabezado"/>
    <w:uiPriority w:val="99"/>
    <w:semiHidden/>
    <w:locked/>
    <w:rsid w:val="00E871C4"/>
    <w:rPr>
      <w:rFonts w:ascii="Times New Roman" w:hAnsi="Times New Roman" w:cs="Times New Roman"/>
      <w:lang w:val="en-US" w:eastAsia="es-ES"/>
    </w:rPr>
  </w:style>
  <w:style w:type="paragraph" w:styleId="NormalWeb">
    <w:name w:val="Normal (Web)"/>
    <w:basedOn w:val="Normal"/>
    <w:uiPriority w:val="99"/>
    <w:unhideWhenUsed/>
    <w:rsid w:val="00917D43"/>
    <w:pPr>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90792">
      <w:marLeft w:val="0"/>
      <w:marRight w:val="0"/>
      <w:marTop w:val="0"/>
      <w:marBottom w:val="0"/>
      <w:divBdr>
        <w:top w:val="none" w:sz="0" w:space="0" w:color="auto"/>
        <w:left w:val="none" w:sz="0" w:space="0" w:color="auto"/>
        <w:bottom w:val="none" w:sz="0" w:space="0" w:color="auto"/>
        <w:right w:val="none" w:sz="0" w:space="0" w:color="auto"/>
      </w:divBdr>
    </w:div>
    <w:div w:id="741290793">
      <w:marLeft w:val="0"/>
      <w:marRight w:val="0"/>
      <w:marTop w:val="0"/>
      <w:marBottom w:val="0"/>
      <w:divBdr>
        <w:top w:val="none" w:sz="0" w:space="0" w:color="auto"/>
        <w:left w:val="none" w:sz="0" w:space="0" w:color="auto"/>
        <w:bottom w:val="none" w:sz="0" w:space="0" w:color="auto"/>
        <w:right w:val="none" w:sz="0" w:space="0" w:color="auto"/>
      </w:divBdr>
    </w:div>
    <w:div w:id="741290794">
      <w:marLeft w:val="0"/>
      <w:marRight w:val="0"/>
      <w:marTop w:val="0"/>
      <w:marBottom w:val="0"/>
      <w:divBdr>
        <w:top w:val="none" w:sz="0" w:space="0" w:color="auto"/>
        <w:left w:val="none" w:sz="0" w:space="0" w:color="auto"/>
        <w:bottom w:val="none" w:sz="0" w:space="0" w:color="auto"/>
        <w:right w:val="none" w:sz="0" w:space="0" w:color="auto"/>
      </w:divBdr>
    </w:div>
    <w:div w:id="7412907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1DAAF-69CB-4541-8E86-E4543DE18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3376</Words>
  <Characters>17865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Viviana Masciadri</cp:lastModifiedBy>
  <cp:revision>2</cp:revision>
  <dcterms:created xsi:type="dcterms:W3CDTF">2018-01-22T14:07:00Z</dcterms:created>
  <dcterms:modified xsi:type="dcterms:W3CDTF">2018-03-12T13:11:00Z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