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2D9" w:rsidRPr="00EB343F" w:rsidRDefault="003C02D9" w:rsidP="00755535">
      <w:pPr>
        <w:spacing w:after="0" w:line="360" w:lineRule="auto"/>
        <w:jc w:val="center"/>
        <w:rPr>
          <w:rFonts w:ascii="Times New Roman" w:hAnsi="Times New Roman" w:cs="Times New Roman"/>
          <w:b/>
          <w:sz w:val="24"/>
          <w:szCs w:val="24"/>
        </w:rPr>
      </w:pPr>
      <w:r w:rsidRPr="00EB343F">
        <w:rPr>
          <w:rFonts w:ascii="Times New Roman" w:hAnsi="Times New Roman" w:cs="Times New Roman"/>
          <w:b/>
          <w:sz w:val="24"/>
          <w:szCs w:val="24"/>
        </w:rPr>
        <w:t>Una inquietante familiaridad. Los animales de Antonio Di Benedetto</w:t>
      </w:r>
    </w:p>
    <w:p w:rsidR="003C02D9" w:rsidRDefault="003C02D9" w:rsidP="00755535">
      <w:pPr>
        <w:spacing w:after="0" w:line="360" w:lineRule="auto"/>
        <w:ind w:firstLine="709"/>
        <w:jc w:val="both"/>
        <w:rPr>
          <w:rFonts w:ascii="Times New Roman" w:hAnsi="Times New Roman" w:cs="Times New Roman"/>
          <w:sz w:val="24"/>
          <w:szCs w:val="24"/>
        </w:rPr>
      </w:pPr>
    </w:p>
    <w:p w:rsidR="003604A9" w:rsidRDefault="003604A9" w:rsidP="00755535">
      <w:pPr>
        <w:spacing w:after="0" w:line="36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Laura Soledad Romero (UBA) – Rafael Arce (UNL – CONICET) </w:t>
      </w:r>
    </w:p>
    <w:p w:rsidR="00755535" w:rsidRDefault="00755535" w:rsidP="00755535">
      <w:pPr>
        <w:spacing w:after="0" w:line="360" w:lineRule="auto"/>
        <w:ind w:firstLine="709"/>
        <w:jc w:val="right"/>
        <w:rPr>
          <w:rFonts w:ascii="Times New Roman" w:hAnsi="Times New Roman" w:cs="Times New Roman"/>
          <w:sz w:val="24"/>
          <w:szCs w:val="24"/>
        </w:rPr>
      </w:pPr>
    </w:p>
    <w:p w:rsidR="00755535" w:rsidRDefault="00755535" w:rsidP="00755535">
      <w:pPr>
        <w:spacing w:after="0" w:line="100" w:lineRule="atLeast"/>
        <w:ind w:firstLine="709"/>
        <w:jc w:val="both"/>
        <w:rPr>
          <w:rFonts w:ascii="Times New Roman" w:hAnsi="Times New Roman" w:cs="Times New Roman"/>
          <w:sz w:val="20"/>
          <w:szCs w:val="20"/>
        </w:rPr>
      </w:pPr>
      <w:r>
        <w:rPr>
          <w:rFonts w:ascii="Times New Roman" w:hAnsi="Times New Roman" w:cs="Times New Roman"/>
          <w:sz w:val="20"/>
          <w:szCs w:val="20"/>
        </w:rPr>
        <w:t xml:space="preserve">Resumen: </w:t>
      </w:r>
      <w:r w:rsidRPr="00755535">
        <w:rPr>
          <w:rFonts w:ascii="Times New Roman" w:hAnsi="Times New Roman" w:cs="Times New Roman"/>
          <w:sz w:val="20"/>
          <w:szCs w:val="20"/>
        </w:rPr>
        <w:t xml:space="preserve">Este trabajo propone una lectura del primer libro de Antonio Di Benedetto, </w:t>
      </w:r>
      <w:r w:rsidRPr="00755535">
        <w:rPr>
          <w:rFonts w:ascii="Times New Roman" w:hAnsi="Times New Roman" w:cs="Times New Roman"/>
          <w:i/>
          <w:sz w:val="20"/>
          <w:szCs w:val="20"/>
        </w:rPr>
        <w:t>Mundo animal</w:t>
      </w:r>
      <w:r w:rsidRPr="00755535">
        <w:rPr>
          <w:rFonts w:ascii="Times New Roman" w:hAnsi="Times New Roman" w:cs="Times New Roman"/>
          <w:sz w:val="20"/>
          <w:szCs w:val="20"/>
        </w:rPr>
        <w:t xml:space="preserve"> (1953). Los relatos de este volumen dramatizan una relación problemática entre lo animal y lo humano. Esta relación se encuentra mediada por una corporalidad indiferenciada: el cuerpo constituye el campo de fuerzas en el que los límites entre lo humano y lo animal se vuelven permeables. Cada cuento pone en relación una corporalidad sufriente o invadida con una visitación de la otredad que toma la forma de lo animal. Esta corporalidad invadida por la exterioridad constituiría un espacio que se pretende propio, determinante del sujeto humano, ya sea como interioridad o conciencia, como dueño o propietario, como habitante o perteneciente a una nación: el cuerpo, como unidad orgánica, figura al sujeto soberano, su casa y su comunidad, cada vez amenazada por la emergencia de lo desconocido.</w:t>
      </w:r>
    </w:p>
    <w:p w:rsidR="00755535" w:rsidRPr="00755535" w:rsidRDefault="00755535" w:rsidP="00755535">
      <w:pPr>
        <w:spacing w:after="0" w:line="100" w:lineRule="atLeast"/>
        <w:ind w:firstLine="709"/>
        <w:jc w:val="both"/>
        <w:rPr>
          <w:rFonts w:ascii="Times New Roman" w:hAnsi="Times New Roman" w:cs="Times New Roman"/>
          <w:sz w:val="20"/>
          <w:szCs w:val="20"/>
        </w:rPr>
      </w:pPr>
    </w:p>
    <w:p w:rsidR="00755535" w:rsidRPr="00755535" w:rsidRDefault="00755535" w:rsidP="00755535">
      <w:pPr>
        <w:spacing w:after="0" w:line="100" w:lineRule="atLeast"/>
        <w:ind w:firstLine="709"/>
        <w:jc w:val="both"/>
        <w:rPr>
          <w:rFonts w:ascii="Times New Roman" w:hAnsi="Times New Roman" w:cs="Times New Roman"/>
          <w:sz w:val="20"/>
          <w:szCs w:val="20"/>
        </w:rPr>
      </w:pPr>
      <w:r>
        <w:rPr>
          <w:rFonts w:ascii="Times New Roman" w:hAnsi="Times New Roman" w:cs="Times New Roman"/>
          <w:sz w:val="20"/>
          <w:szCs w:val="20"/>
        </w:rPr>
        <w:t xml:space="preserve">Palabras clave: </w:t>
      </w:r>
      <w:r w:rsidRPr="00755535">
        <w:rPr>
          <w:rFonts w:ascii="Times New Roman" w:hAnsi="Times New Roman" w:cs="Times New Roman"/>
          <w:sz w:val="20"/>
          <w:szCs w:val="20"/>
        </w:rPr>
        <w:t xml:space="preserve">ANIMALIDAD – CORPORALIDAD – ALTERIDAD – DEVENIR – SINIESTRO </w:t>
      </w:r>
    </w:p>
    <w:p w:rsidR="003604A9" w:rsidRPr="00EB343F" w:rsidRDefault="003604A9" w:rsidP="00755535">
      <w:pPr>
        <w:spacing w:after="0" w:line="360" w:lineRule="auto"/>
        <w:ind w:firstLine="709"/>
        <w:jc w:val="both"/>
        <w:rPr>
          <w:rFonts w:ascii="Times New Roman" w:hAnsi="Times New Roman" w:cs="Times New Roman"/>
          <w:sz w:val="24"/>
          <w:szCs w:val="24"/>
        </w:rPr>
      </w:pPr>
    </w:p>
    <w:p w:rsidR="003C02D9" w:rsidRPr="00EB343F" w:rsidRDefault="003C02D9" w:rsidP="00755535">
      <w:pPr>
        <w:spacing w:after="0" w:line="360" w:lineRule="auto"/>
        <w:ind w:firstLine="709"/>
        <w:jc w:val="both"/>
        <w:rPr>
          <w:rFonts w:ascii="Times New Roman" w:hAnsi="Times New Roman" w:cs="Times New Roman"/>
          <w:sz w:val="24"/>
          <w:szCs w:val="24"/>
        </w:rPr>
      </w:pPr>
      <w:r w:rsidRPr="00EB343F">
        <w:rPr>
          <w:rFonts w:ascii="Times New Roman" w:hAnsi="Times New Roman" w:cs="Times New Roman"/>
          <w:sz w:val="24"/>
          <w:szCs w:val="24"/>
        </w:rPr>
        <w:t xml:space="preserve">En 1953, Antonio Di Benedetto publica en Mendoza su primer libro, </w:t>
      </w:r>
      <w:r w:rsidRPr="00EB343F">
        <w:rPr>
          <w:rFonts w:ascii="Times New Roman" w:hAnsi="Times New Roman" w:cs="Times New Roman"/>
          <w:i/>
          <w:sz w:val="24"/>
          <w:szCs w:val="24"/>
        </w:rPr>
        <w:t>Mundo animal</w:t>
      </w:r>
      <w:r w:rsidRPr="00EB343F">
        <w:rPr>
          <w:rFonts w:ascii="Times New Roman" w:hAnsi="Times New Roman" w:cs="Times New Roman"/>
          <w:sz w:val="24"/>
          <w:szCs w:val="24"/>
        </w:rPr>
        <w:t xml:space="preserve">. </w:t>
      </w:r>
      <w:r w:rsidR="005218B2" w:rsidRPr="00EB343F">
        <w:rPr>
          <w:rFonts w:ascii="Times New Roman" w:hAnsi="Times New Roman" w:cs="Times New Roman"/>
          <w:sz w:val="24"/>
          <w:szCs w:val="24"/>
        </w:rPr>
        <w:t>El escritor los ha llamado, alguna vez, “fábulas</w:t>
      </w:r>
      <w:r w:rsidR="00EB343F" w:rsidRPr="00EB343F">
        <w:rPr>
          <w:rFonts w:ascii="Times New Roman" w:hAnsi="Times New Roman" w:cs="Times New Roman"/>
          <w:sz w:val="24"/>
          <w:szCs w:val="24"/>
        </w:rPr>
        <w:t>”</w:t>
      </w:r>
      <w:r w:rsidR="005218B2" w:rsidRPr="00EB343F">
        <w:rPr>
          <w:rFonts w:ascii="Times New Roman" w:hAnsi="Times New Roman" w:cs="Times New Roman"/>
          <w:sz w:val="24"/>
          <w:szCs w:val="24"/>
        </w:rPr>
        <w:t>. Muchas lecturas críticas se apresuran a señalar la insuficiencia del concepto para encasillar estos relatos. Aunque un examen narratológico revele la impertinencia de la categoría, no puede tomarse con liviandad esta falsa adscripción genérica.</w:t>
      </w:r>
      <w:r w:rsidR="00A5093F" w:rsidRPr="00EB343F">
        <w:rPr>
          <w:rFonts w:ascii="Times New Roman" w:hAnsi="Times New Roman" w:cs="Times New Roman"/>
          <w:sz w:val="24"/>
          <w:szCs w:val="24"/>
        </w:rPr>
        <w:t xml:space="preserve"> </w:t>
      </w:r>
      <w:r w:rsidRPr="00EB343F">
        <w:rPr>
          <w:rFonts w:ascii="Times New Roman" w:hAnsi="Times New Roman" w:cs="Times New Roman"/>
          <w:sz w:val="24"/>
          <w:szCs w:val="24"/>
        </w:rPr>
        <w:t xml:space="preserve">En este trabajo sostendremos la hipótesis de que </w:t>
      </w:r>
      <w:r w:rsidRPr="00EB343F">
        <w:rPr>
          <w:rFonts w:ascii="Times New Roman" w:hAnsi="Times New Roman" w:cs="Times New Roman"/>
          <w:i/>
          <w:sz w:val="24"/>
          <w:szCs w:val="24"/>
        </w:rPr>
        <w:t>Mundo animal</w:t>
      </w:r>
      <w:r w:rsidRPr="00EB343F">
        <w:rPr>
          <w:rFonts w:ascii="Times New Roman" w:hAnsi="Times New Roman" w:cs="Times New Roman"/>
          <w:sz w:val="24"/>
          <w:szCs w:val="24"/>
        </w:rPr>
        <w:t xml:space="preserve"> pone en tensión los protocolos narrativos de la fábula, desmontando los mecanismos de significación metafórica que transfieren rasgos antropomorfos a los animales. Si la fábula opera por analogía, los relatos de Di Benedetto </w:t>
      </w:r>
      <w:r w:rsidR="00A5093F" w:rsidRPr="00EB343F">
        <w:rPr>
          <w:rFonts w:ascii="Times New Roman" w:hAnsi="Times New Roman" w:cs="Times New Roman"/>
          <w:sz w:val="24"/>
          <w:szCs w:val="24"/>
        </w:rPr>
        <w:t xml:space="preserve">la </w:t>
      </w:r>
      <w:r w:rsidRPr="00EB343F">
        <w:rPr>
          <w:rFonts w:ascii="Times New Roman" w:hAnsi="Times New Roman" w:cs="Times New Roman"/>
          <w:sz w:val="24"/>
          <w:szCs w:val="24"/>
        </w:rPr>
        <w:t>socavan: las fig</w:t>
      </w:r>
      <w:r w:rsidR="00F64636" w:rsidRPr="00EB343F">
        <w:rPr>
          <w:rFonts w:ascii="Times New Roman" w:hAnsi="Times New Roman" w:cs="Times New Roman"/>
          <w:sz w:val="24"/>
          <w:szCs w:val="24"/>
        </w:rPr>
        <w:t>uras animales</w:t>
      </w:r>
      <w:r w:rsidR="00755535">
        <w:rPr>
          <w:rFonts w:ascii="Times New Roman" w:hAnsi="Times New Roman" w:cs="Times New Roman"/>
          <w:sz w:val="24"/>
          <w:szCs w:val="24"/>
        </w:rPr>
        <w:t xml:space="preserve"> </w:t>
      </w:r>
      <w:r w:rsidRPr="00EB343F">
        <w:rPr>
          <w:rFonts w:ascii="Times New Roman" w:hAnsi="Times New Roman" w:cs="Times New Roman"/>
          <w:sz w:val="24"/>
          <w:szCs w:val="24"/>
        </w:rPr>
        <w:t>corporeizan las zonas desconocidas o disimuladas de lo que se</w:t>
      </w:r>
      <w:r w:rsidR="00755535">
        <w:rPr>
          <w:rFonts w:ascii="Times New Roman" w:hAnsi="Times New Roman" w:cs="Times New Roman"/>
          <w:sz w:val="24"/>
          <w:szCs w:val="24"/>
        </w:rPr>
        <w:t xml:space="preserve"> presenta como propio, dominado y</w:t>
      </w:r>
      <w:r w:rsidRPr="00EB343F">
        <w:rPr>
          <w:rFonts w:ascii="Times New Roman" w:hAnsi="Times New Roman" w:cs="Times New Roman"/>
          <w:sz w:val="24"/>
          <w:szCs w:val="24"/>
        </w:rPr>
        <w:t xml:space="preserve"> familiar</w:t>
      </w:r>
      <w:bookmarkStart w:id="0" w:name="_GoBack"/>
      <w:bookmarkEnd w:id="0"/>
      <w:r w:rsidRPr="00EB343F">
        <w:rPr>
          <w:rFonts w:ascii="Times New Roman" w:hAnsi="Times New Roman" w:cs="Times New Roman"/>
          <w:sz w:val="24"/>
          <w:szCs w:val="24"/>
        </w:rPr>
        <w:t>, poniendo estos límites del “adentro” fuera de sí.</w:t>
      </w:r>
    </w:p>
    <w:p w:rsidR="003C02D9" w:rsidRPr="00EB343F" w:rsidRDefault="003C02D9" w:rsidP="00755535">
      <w:pPr>
        <w:spacing w:after="0" w:line="360" w:lineRule="auto"/>
        <w:ind w:firstLine="709"/>
        <w:jc w:val="both"/>
        <w:rPr>
          <w:rFonts w:ascii="Times New Roman" w:hAnsi="Times New Roman" w:cs="Times New Roman"/>
          <w:sz w:val="24"/>
          <w:szCs w:val="24"/>
        </w:rPr>
      </w:pPr>
      <w:r w:rsidRPr="00EB343F">
        <w:rPr>
          <w:rFonts w:ascii="Times New Roman" w:hAnsi="Times New Roman" w:cs="Times New Roman"/>
          <w:sz w:val="24"/>
          <w:szCs w:val="24"/>
        </w:rPr>
        <w:t xml:space="preserve">“Mariposas de Koch”, que abre el volumen, por su concisión y claridad, funciona casi como una ilustración del procedimiento. El título ya lo anticipa: el genitivo establece una relación entre los animales y la enfermedad. Un narrador describe su mal corporal con una insólita historia: imitando a su burro, quiso un día comer margaritas. Pero una mariposa se posa en la flor y decide alimentarse </w:t>
      </w:r>
      <w:r w:rsidR="00F64636" w:rsidRPr="00EB343F">
        <w:rPr>
          <w:rFonts w:ascii="Times New Roman" w:hAnsi="Times New Roman" w:cs="Times New Roman"/>
          <w:sz w:val="24"/>
          <w:szCs w:val="24"/>
        </w:rPr>
        <w:t>de</w:t>
      </w:r>
      <w:r w:rsidRPr="00EB343F">
        <w:rPr>
          <w:rFonts w:ascii="Times New Roman" w:hAnsi="Times New Roman" w:cs="Times New Roman"/>
          <w:sz w:val="24"/>
          <w:szCs w:val="24"/>
        </w:rPr>
        <w:t xml:space="preserve"> ella. Una segunda mariposa se introduce por su cuenta aprovechando que el personaje miraba, “con la boca abierta”, el trabajo de las hormigas. Esta última, y una tercera, pasan vivas al corazón, donde anidan y tienen familia. Los “párvulos”, ciegos por haber nacido en la oscuridad, quieren salir al exterior, por lo que, en vez de volar, caen pesadamente al suelo, llenos de sangre. Así traduce, con una “fábula”, la tuberculosis: la ciencia llama “bacilo de Koch” al agente de esta enfermedad.</w:t>
      </w:r>
    </w:p>
    <w:p w:rsidR="003C02D9" w:rsidRPr="00EB343F" w:rsidRDefault="003C02D9" w:rsidP="00755535">
      <w:pPr>
        <w:spacing w:after="0" w:line="360" w:lineRule="auto"/>
        <w:ind w:firstLine="709"/>
        <w:jc w:val="both"/>
        <w:rPr>
          <w:rFonts w:ascii="Times New Roman" w:hAnsi="Times New Roman" w:cs="Times New Roman"/>
          <w:sz w:val="24"/>
          <w:szCs w:val="24"/>
        </w:rPr>
      </w:pPr>
      <w:r w:rsidRPr="00EB343F">
        <w:rPr>
          <w:rFonts w:ascii="Times New Roman" w:hAnsi="Times New Roman" w:cs="Times New Roman"/>
          <w:sz w:val="24"/>
          <w:szCs w:val="24"/>
        </w:rPr>
        <w:t>Señalemos al</w:t>
      </w:r>
      <w:r w:rsidR="00F64636" w:rsidRPr="00EB343F">
        <w:rPr>
          <w:rFonts w:ascii="Times New Roman" w:hAnsi="Times New Roman" w:cs="Times New Roman"/>
          <w:sz w:val="24"/>
          <w:szCs w:val="24"/>
        </w:rPr>
        <w:t>gunos elementos que se reitera</w:t>
      </w:r>
      <w:r w:rsidRPr="00EB343F">
        <w:rPr>
          <w:rFonts w:ascii="Times New Roman" w:hAnsi="Times New Roman" w:cs="Times New Roman"/>
          <w:sz w:val="24"/>
          <w:szCs w:val="24"/>
        </w:rPr>
        <w:t xml:space="preserve">n a lo largo del volumen: 1) las figuras animales, en general, aunque no exclusivamente, </w:t>
      </w:r>
      <w:r w:rsidR="00D60D15" w:rsidRPr="00EB343F">
        <w:rPr>
          <w:rFonts w:ascii="Times New Roman" w:hAnsi="Times New Roman" w:cs="Times New Roman"/>
          <w:sz w:val="24"/>
          <w:szCs w:val="24"/>
        </w:rPr>
        <w:t>múltiples</w:t>
      </w:r>
      <w:r w:rsidRPr="00EB343F">
        <w:rPr>
          <w:rFonts w:ascii="Times New Roman" w:hAnsi="Times New Roman" w:cs="Times New Roman"/>
          <w:sz w:val="24"/>
          <w:szCs w:val="24"/>
        </w:rPr>
        <w:t xml:space="preserve"> (manadas, camadas, </w:t>
      </w:r>
      <w:r w:rsidRPr="00EB343F">
        <w:rPr>
          <w:rFonts w:ascii="Times New Roman" w:hAnsi="Times New Roman" w:cs="Times New Roman"/>
          <w:sz w:val="24"/>
          <w:szCs w:val="24"/>
        </w:rPr>
        <w:lastRenderedPageBreak/>
        <w:t>piaras, hormigueros, jaurías) y diversas (aquí, burro, hormigas y mariposas, en un relato de apenas dos páginas); 2) la afección corporal (</w:t>
      </w:r>
      <w:r w:rsidR="00D60D15" w:rsidRPr="00EB343F">
        <w:rPr>
          <w:rFonts w:ascii="Times New Roman" w:hAnsi="Times New Roman" w:cs="Times New Roman"/>
          <w:sz w:val="24"/>
          <w:szCs w:val="24"/>
        </w:rPr>
        <w:t>lo viviente</w:t>
      </w:r>
      <w:r w:rsidRPr="00EB343F">
        <w:rPr>
          <w:rFonts w:ascii="Times New Roman" w:hAnsi="Times New Roman" w:cs="Times New Roman"/>
          <w:sz w:val="24"/>
          <w:szCs w:val="24"/>
        </w:rPr>
        <w:t xml:space="preserve"> reemplazará cada vez la unidad orgánica del “cuerpo”); 3) la focalización en la zona corporal de los órganos que intervienen en el proceso digestivo y en la vocalización; 4) la figuración de la casa o el “hogar” como espacio privilegiado en el que se interroga lo familiar.</w:t>
      </w:r>
    </w:p>
    <w:p w:rsidR="003C02D9" w:rsidRPr="00EB343F" w:rsidRDefault="003C02D9" w:rsidP="00755535">
      <w:pPr>
        <w:spacing w:after="0" w:line="360" w:lineRule="auto"/>
        <w:ind w:firstLine="709"/>
        <w:jc w:val="both"/>
        <w:rPr>
          <w:rFonts w:ascii="Times New Roman" w:hAnsi="Times New Roman" w:cs="Times New Roman"/>
          <w:sz w:val="24"/>
          <w:szCs w:val="24"/>
        </w:rPr>
      </w:pPr>
      <w:r w:rsidRPr="00EB343F">
        <w:rPr>
          <w:rFonts w:ascii="Times New Roman" w:hAnsi="Times New Roman" w:cs="Times New Roman"/>
          <w:sz w:val="24"/>
          <w:szCs w:val="24"/>
        </w:rPr>
        <w:t xml:space="preserve">“Mariposas de Koch” puede ser leído como un relato fantástico, tan adaptado a la norma, que parece casi un ejercicio de taller literario: </w:t>
      </w:r>
      <w:r w:rsidR="00024423" w:rsidRPr="00EB343F">
        <w:rPr>
          <w:rFonts w:ascii="Times New Roman" w:hAnsi="Times New Roman" w:cs="Times New Roman"/>
          <w:sz w:val="24"/>
          <w:szCs w:val="24"/>
        </w:rPr>
        <w:t>esos</w:t>
      </w:r>
      <w:r w:rsidRPr="00EB343F">
        <w:rPr>
          <w:rFonts w:ascii="Times New Roman" w:hAnsi="Times New Roman" w:cs="Times New Roman"/>
          <w:sz w:val="24"/>
          <w:szCs w:val="24"/>
        </w:rPr>
        <w:t xml:space="preserve"> otros </w:t>
      </w:r>
      <w:r w:rsidR="00024423" w:rsidRPr="00EB343F">
        <w:rPr>
          <w:rFonts w:ascii="Times New Roman" w:hAnsi="Times New Roman" w:cs="Times New Roman"/>
          <w:sz w:val="24"/>
          <w:szCs w:val="24"/>
        </w:rPr>
        <w:t xml:space="preserve">a los que se dirige el narrador </w:t>
      </w:r>
      <w:r w:rsidRPr="00EB343F">
        <w:rPr>
          <w:rFonts w:ascii="Times New Roman" w:hAnsi="Times New Roman" w:cs="Times New Roman"/>
          <w:sz w:val="24"/>
          <w:szCs w:val="24"/>
        </w:rPr>
        <w:t xml:space="preserve">serían los portavoces de la explicación “realista” (el </w:t>
      </w:r>
      <w:r w:rsidR="00024423" w:rsidRPr="00EB343F">
        <w:rPr>
          <w:rFonts w:ascii="Times New Roman" w:hAnsi="Times New Roman" w:cs="Times New Roman"/>
          <w:sz w:val="24"/>
          <w:szCs w:val="24"/>
        </w:rPr>
        <w:t>protagonista</w:t>
      </w:r>
      <w:r w:rsidRPr="00EB343F">
        <w:rPr>
          <w:rFonts w:ascii="Times New Roman" w:hAnsi="Times New Roman" w:cs="Times New Roman"/>
          <w:sz w:val="24"/>
          <w:szCs w:val="24"/>
        </w:rPr>
        <w:t xml:space="preserve"> vomita sangre y por lo tanto tiene tuberculosis), mientras que el </w:t>
      </w:r>
      <w:r w:rsidR="00024423" w:rsidRPr="00EB343F">
        <w:rPr>
          <w:rFonts w:ascii="Times New Roman" w:hAnsi="Times New Roman" w:cs="Times New Roman"/>
          <w:sz w:val="24"/>
          <w:szCs w:val="24"/>
        </w:rPr>
        <w:t>narrador</w:t>
      </w:r>
      <w:r w:rsidRPr="00EB343F">
        <w:rPr>
          <w:rFonts w:ascii="Times New Roman" w:hAnsi="Times New Roman" w:cs="Times New Roman"/>
          <w:sz w:val="24"/>
          <w:szCs w:val="24"/>
        </w:rPr>
        <w:t xml:space="preserve"> opone una explicación “maravillosa”. La vacilación entre los dos puntos de vista permiten adscribirlo al género fantástico. </w:t>
      </w:r>
      <w:r w:rsidR="009E1B05" w:rsidRPr="00EB343F">
        <w:rPr>
          <w:rFonts w:ascii="Times New Roman" w:hAnsi="Times New Roman" w:cs="Times New Roman"/>
          <w:sz w:val="24"/>
          <w:szCs w:val="24"/>
        </w:rPr>
        <w:t>No obstante, esta lectura puede desbordarse</w:t>
      </w:r>
      <w:r w:rsidRPr="00EB343F">
        <w:rPr>
          <w:rFonts w:ascii="Times New Roman" w:hAnsi="Times New Roman" w:cs="Times New Roman"/>
          <w:sz w:val="24"/>
          <w:szCs w:val="24"/>
        </w:rPr>
        <w:t xml:space="preserve">. El punto de vista </w:t>
      </w:r>
      <w:r w:rsidR="00D60D15" w:rsidRPr="00EB343F">
        <w:rPr>
          <w:rFonts w:ascii="Times New Roman" w:hAnsi="Times New Roman" w:cs="Times New Roman"/>
          <w:sz w:val="24"/>
          <w:szCs w:val="24"/>
        </w:rPr>
        <w:t xml:space="preserve">que sanciona la patología </w:t>
      </w:r>
      <w:r w:rsidRPr="00EB343F">
        <w:rPr>
          <w:rFonts w:ascii="Times New Roman" w:hAnsi="Times New Roman" w:cs="Times New Roman"/>
          <w:sz w:val="24"/>
          <w:szCs w:val="24"/>
        </w:rPr>
        <w:t xml:space="preserve">sería el racional-humano: </w:t>
      </w:r>
      <w:r w:rsidR="009E1B05" w:rsidRPr="00EB343F">
        <w:rPr>
          <w:rFonts w:ascii="Times New Roman" w:hAnsi="Times New Roman" w:cs="Times New Roman"/>
          <w:sz w:val="24"/>
          <w:szCs w:val="24"/>
        </w:rPr>
        <w:t xml:space="preserve">es decir, </w:t>
      </w:r>
      <w:r w:rsidRPr="00EB343F">
        <w:rPr>
          <w:rFonts w:ascii="Times New Roman" w:hAnsi="Times New Roman" w:cs="Times New Roman"/>
          <w:sz w:val="24"/>
          <w:szCs w:val="24"/>
        </w:rPr>
        <w:t xml:space="preserve">el que considera el fenómeno como un mal, atribuible a un agente patógeno extraño, </w:t>
      </w:r>
      <w:r w:rsidRPr="00EB343F">
        <w:rPr>
          <w:rFonts w:ascii="Times New Roman" w:hAnsi="Times New Roman" w:cs="Times New Roman"/>
          <w:i/>
          <w:sz w:val="24"/>
          <w:szCs w:val="24"/>
        </w:rPr>
        <w:t xml:space="preserve">extranjero </w:t>
      </w:r>
      <w:r w:rsidRPr="00EB343F">
        <w:rPr>
          <w:rFonts w:ascii="Times New Roman" w:hAnsi="Times New Roman" w:cs="Times New Roman"/>
          <w:sz w:val="24"/>
          <w:szCs w:val="24"/>
        </w:rPr>
        <w:t xml:space="preserve">(el bacilo, una forma de vida ni humana ni animal). </w:t>
      </w:r>
      <w:r w:rsidR="00D60D15" w:rsidRPr="00EB343F">
        <w:rPr>
          <w:rFonts w:ascii="Times New Roman" w:hAnsi="Times New Roman" w:cs="Times New Roman"/>
          <w:sz w:val="24"/>
          <w:szCs w:val="24"/>
        </w:rPr>
        <w:t>Sin embargo, e</w:t>
      </w:r>
      <w:r w:rsidRPr="00EB343F">
        <w:rPr>
          <w:rFonts w:ascii="Times New Roman" w:hAnsi="Times New Roman" w:cs="Times New Roman"/>
          <w:sz w:val="24"/>
          <w:szCs w:val="24"/>
        </w:rPr>
        <w:t xml:space="preserve">l narrador transmuta </w:t>
      </w:r>
      <w:r w:rsidR="009E1B05" w:rsidRPr="00EB343F">
        <w:rPr>
          <w:rFonts w:ascii="Times New Roman" w:hAnsi="Times New Roman" w:cs="Times New Roman"/>
          <w:sz w:val="24"/>
          <w:szCs w:val="24"/>
        </w:rPr>
        <w:t>la valoración</w:t>
      </w:r>
      <w:r w:rsidRPr="00EB343F">
        <w:rPr>
          <w:rFonts w:ascii="Times New Roman" w:hAnsi="Times New Roman" w:cs="Times New Roman"/>
          <w:sz w:val="24"/>
          <w:szCs w:val="24"/>
        </w:rPr>
        <w:t xml:space="preserve"> del fenómeno: la fábula de las mariposas (la muerte, el romance, la familia, la necesidad de los hijos de volar, la imposibilidad por “ceguera”: otra enfermedad) lo vuelve un proceso “estético”, romantiza la enfermedad. Pero, más importante aún: el punto de vista de los otros, humanos, </w:t>
      </w:r>
      <w:r w:rsidRPr="00EB343F">
        <w:rPr>
          <w:rFonts w:ascii="Times New Roman" w:hAnsi="Times New Roman" w:cs="Times New Roman"/>
          <w:i/>
          <w:sz w:val="24"/>
          <w:szCs w:val="24"/>
        </w:rPr>
        <w:t>explica</w:t>
      </w:r>
      <w:r w:rsidRPr="00EB343F">
        <w:rPr>
          <w:rFonts w:ascii="Times New Roman" w:hAnsi="Times New Roman" w:cs="Times New Roman"/>
          <w:sz w:val="24"/>
          <w:szCs w:val="24"/>
        </w:rPr>
        <w:t xml:space="preserve"> el mal, mientras que la fábula </w:t>
      </w:r>
      <w:r w:rsidRPr="00EB343F">
        <w:rPr>
          <w:rFonts w:ascii="Times New Roman" w:hAnsi="Times New Roman" w:cs="Times New Roman"/>
          <w:i/>
          <w:sz w:val="24"/>
          <w:szCs w:val="24"/>
        </w:rPr>
        <w:t>deja el fenómeno en el plano de lo inexplicado, del enigma</w:t>
      </w:r>
      <w:r w:rsidRPr="00EB343F">
        <w:rPr>
          <w:rFonts w:ascii="Times New Roman" w:hAnsi="Times New Roman" w:cs="Times New Roman"/>
          <w:sz w:val="24"/>
          <w:szCs w:val="24"/>
        </w:rPr>
        <w:t xml:space="preserve">. Lo más propio, lo más familiar, la corporalidad, se vuelve ajena, extraña, con la enfermedad: la ciencia permite </w:t>
      </w:r>
      <w:r w:rsidR="009E1B05" w:rsidRPr="00EB343F">
        <w:rPr>
          <w:rFonts w:ascii="Times New Roman" w:hAnsi="Times New Roman" w:cs="Times New Roman"/>
          <w:sz w:val="24"/>
          <w:szCs w:val="24"/>
        </w:rPr>
        <w:t>entender</w:t>
      </w:r>
      <w:r w:rsidRPr="00EB343F">
        <w:rPr>
          <w:rFonts w:ascii="Times New Roman" w:hAnsi="Times New Roman" w:cs="Times New Roman"/>
          <w:sz w:val="24"/>
          <w:szCs w:val="24"/>
        </w:rPr>
        <w:t xml:space="preserve"> y curar el mal, devolviendo el cuerpo a la mismidad. La fábula, </w:t>
      </w:r>
      <w:r w:rsidR="009E1B05" w:rsidRPr="00EB343F">
        <w:rPr>
          <w:rFonts w:ascii="Times New Roman" w:hAnsi="Times New Roman" w:cs="Times New Roman"/>
          <w:sz w:val="24"/>
          <w:szCs w:val="24"/>
        </w:rPr>
        <w:t>por el contrario</w:t>
      </w:r>
      <w:r w:rsidRPr="00EB343F">
        <w:rPr>
          <w:rFonts w:ascii="Times New Roman" w:hAnsi="Times New Roman" w:cs="Times New Roman"/>
          <w:sz w:val="24"/>
          <w:szCs w:val="24"/>
        </w:rPr>
        <w:t xml:space="preserve">, impide esta restitución: materializa la experiencia de la extrañeza corporal, de lo extranjero en lo propio, a tal punto que esa voz que narra y escupe mariposas ensangrentadas </w:t>
      </w:r>
      <w:r w:rsidRPr="00EB343F">
        <w:rPr>
          <w:rFonts w:ascii="Times New Roman" w:hAnsi="Times New Roman" w:cs="Times New Roman"/>
          <w:i/>
          <w:sz w:val="24"/>
          <w:szCs w:val="24"/>
        </w:rPr>
        <w:t>se identifica</w:t>
      </w:r>
      <w:r w:rsidRPr="00EB343F">
        <w:rPr>
          <w:rFonts w:ascii="Times New Roman" w:hAnsi="Times New Roman" w:cs="Times New Roman"/>
          <w:sz w:val="24"/>
          <w:szCs w:val="24"/>
        </w:rPr>
        <w:t xml:space="preserve"> con lo que lo invade desde “afuera”. Lejos de negarlo, lo afirm</w:t>
      </w:r>
      <w:r w:rsidR="00D60D15" w:rsidRPr="00EB343F">
        <w:rPr>
          <w:rFonts w:ascii="Times New Roman" w:hAnsi="Times New Roman" w:cs="Times New Roman"/>
          <w:sz w:val="24"/>
          <w:szCs w:val="24"/>
        </w:rPr>
        <w:t>a</w:t>
      </w:r>
      <w:r w:rsidRPr="00EB343F">
        <w:rPr>
          <w:rFonts w:ascii="Times New Roman" w:hAnsi="Times New Roman" w:cs="Times New Roman"/>
          <w:sz w:val="24"/>
          <w:szCs w:val="24"/>
        </w:rPr>
        <w:t xml:space="preserve">. </w:t>
      </w:r>
    </w:p>
    <w:p w:rsidR="003C02D9" w:rsidRPr="00EB343F" w:rsidRDefault="003C02D9" w:rsidP="00755535">
      <w:pPr>
        <w:spacing w:after="0" w:line="360" w:lineRule="auto"/>
        <w:ind w:firstLine="709"/>
        <w:jc w:val="both"/>
        <w:rPr>
          <w:rFonts w:ascii="Times New Roman" w:hAnsi="Times New Roman" w:cs="Times New Roman"/>
          <w:sz w:val="24"/>
          <w:szCs w:val="24"/>
        </w:rPr>
      </w:pPr>
      <w:r w:rsidRPr="00EB343F">
        <w:rPr>
          <w:rFonts w:ascii="Times New Roman" w:hAnsi="Times New Roman" w:cs="Times New Roman"/>
          <w:sz w:val="24"/>
          <w:szCs w:val="24"/>
        </w:rPr>
        <w:t xml:space="preserve">Desde el título, “Nido en los huesos” anticipa una estructura similar: el refugio animal y la alusión a lo corporal. El primer párrafo es elocuente: “Yo no soy el mono. Tengo ideas distintas, aunque se nos haya puesto, por lo menos al principio, en la misma situación” (49). Un niño cuenta la adopción, por parte de su autoritario padre, de un mono. El animal no puede adaptarse y termina relegado en una palmera. Se vuelve díscolo y solitario. Finalmente, la palmera es talada y una jauría mata al mono. La segunda parte narra los problemas del niño con su familia, estableciendo una analogía con el destino del mono. El narrador es amonestado o castigado a causa de lo que, para el punto de vista de su hogar, se entiende </w:t>
      </w:r>
      <w:r w:rsidR="00B57215" w:rsidRPr="00EB343F">
        <w:rPr>
          <w:rFonts w:ascii="Times New Roman" w:hAnsi="Times New Roman" w:cs="Times New Roman"/>
          <w:sz w:val="24"/>
          <w:szCs w:val="24"/>
        </w:rPr>
        <w:t xml:space="preserve">como comportamiento inadaptado: </w:t>
      </w:r>
      <w:r w:rsidRPr="00EB343F">
        <w:rPr>
          <w:rFonts w:ascii="Times New Roman" w:hAnsi="Times New Roman" w:cs="Times New Roman"/>
          <w:sz w:val="24"/>
          <w:szCs w:val="24"/>
        </w:rPr>
        <w:t xml:space="preserve">el niño entra silbando al living cuando su madre comparte un té-canasta con sus amigas. Para su punto </w:t>
      </w:r>
      <w:r w:rsidRPr="00EB343F">
        <w:rPr>
          <w:rFonts w:ascii="Times New Roman" w:hAnsi="Times New Roman" w:cs="Times New Roman"/>
          <w:sz w:val="24"/>
          <w:szCs w:val="24"/>
        </w:rPr>
        <w:lastRenderedPageBreak/>
        <w:t xml:space="preserve">de vista, </w:t>
      </w:r>
      <w:r w:rsidR="00CC19C6" w:rsidRPr="00EB343F">
        <w:rPr>
          <w:rFonts w:ascii="Times New Roman" w:hAnsi="Times New Roman" w:cs="Times New Roman"/>
          <w:sz w:val="24"/>
          <w:szCs w:val="24"/>
        </w:rPr>
        <w:t>se trata de pájaros</w:t>
      </w:r>
      <w:r w:rsidRPr="00EB343F">
        <w:rPr>
          <w:rFonts w:ascii="Times New Roman" w:hAnsi="Times New Roman" w:cs="Times New Roman"/>
          <w:sz w:val="24"/>
          <w:szCs w:val="24"/>
        </w:rPr>
        <w:t xml:space="preserve"> porque, no pudiendo habitar el hogar humano, decide poner su </w:t>
      </w:r>
      <w:r w:rsidR="00CC19C6" w:rsidRPr="00EB343F">
        <w:rPr>
          <w:rFonts w:ascii="Times New Roman" w:hAnsi="Times New Roman" w:cs="Times New Roman"/>
          <w:sz w:val="24"/>
          <w:szCs w:val="24"/>
        </w:rPr>
        <w:t>cabeza</w:t>
      </w:r>
      <w:r w:rsidRPr="00EB343F">
        <w:rPr>
          <w:rFonts w:ascii="Times New Roman" w:hAnsi="Times New Roman" w:cs="Times New Roman"/>
          <w:sz w:val="24"/>
          <w:szCs w:val="24"/>
        </w:rPr>
        <w:t xml:space="preserve"> al servicio de la habitación de las aves. Pero a gorriones, canarios y perdices les siguen unos buitres cuyos picotazos laceran hasta lo insoportable y a causa de lo cual el niño desea terminar con su vida del mismo modo que el mono. </w:t>
      </w:r>
    </w:p>
    <w:p w:rsidR="003C02D9" w:rsidRPr="00EB343F" w:rsidRDefault="003C02D9" w:rsidP="00755535">
      <w:pPr>
        <w:spacing w:after="0" w:line="360" w:lineRule="auto"/>
        <w:ind w:firstLine="709"/>
        <w:jc w:val="both"/>
        <w:rPr>
          <w:rFonts w:ascii="Times New Roman" w:hAnsi="Times New Roman" w:cs="Times New Roman"/>
          <w:sz w:val="24"/>
          <w:szCs w:val="24"/>
        </w:rPr>
      </w:pPr>
      <w:r w:rsidRPr="00EB343F">
        <w:rPr>
          <w:rFonts w:ascii="Times New Roman" w:hAnsi="Times New Roman" w:cs="Times New Roman"/>
          <w:sz w:val="24"/>
          <w:szCs w:val="24"/>
        </w:rPr>
        <w:t xml:space="preserve">Volvamos </w:t>
      </w:r>
      <w:r w:rsidR="00CC19C6" w:rsidRPr="00EB343F">
        <w:rPr>
          <w:rFonts w:ascii="Times New Roman" w:hAnsi="Times New Roman" w:cs="Times New Roman"/>
          <w:sz w:val="24"/>
          <w:szCs w:val="24"/>
        </w:rPr>
        <w:t>a la proposición con la que comienza</w:t>
      </w:r>
      <w:r w:rsidR="00B57215" w:rsidRPr="00EB343F">
        <w:rPr>
          <w:rFonts w:ascii="Times New Roman" w:hAnsi="Times New Roman" w:cs="Times New Roman"/>
          <w:sz w:val="24"/>
          <w:szCs w:val="24"/>
        </w:rPr>
        <w:t xml:space="preserve"> el relato</w:t>
      </w:r>
      <w:r w:rsidRPr="00EB343F">
        <w:rPr>
          <w:rFonts w:ascii="Times New Roman" w:hAnsi="Times New Roman" w:cs="Times New Roman"/>
          <w:sz w:val="24"/>
          <w:szCs w:val="24"/>
        </w:rPr>
        <w:t xml:space="preserve">. Al contrario de lo que se afirma, en ningún momento se puso al mono y al niño “en la misma situación”: es el narrador quien se pone deliberadamente en </w:t>
      </w:r>
      <w:r w:rsidR="00B57215" w:rsidRPr="00EB343F">
        <w:rPr>
          <w:rFonts w:ascii="Times New Roman" w:hAnsi="Times New Roman" w:cs="Times New Roman"/>
          <w:sz w:val="24"/>
          <w:szCs w:val="24"/>
        </w:rPr>
        <w:t>el lugar</w:t>
      </w:r>
      <w:r w:rsidRPr="00EB343F">
        <w:rPr>
          <w:rFonts w:ascii="Times New Roman" w:hAnsi="Times New Roman" w:cs="Times New Roman"/>
          <w:sz w:val="24"/>
          <w:szCs w:val="24"/>
        </w:rPr>
        <w:t xml:space="preserve"> del mono, como si el relato invirtiera los términos de la fábula. </w:t>
      </w:r>
      <w:r w:rsidRPr="00EB343F">
        <w:rPr>
          <w:rFonts w:ascii="Times New Roman" w:hAnsi="Times New Roman" w:cs="Times New Roman"/>
          <w:i/>
          <w:sz w:val="24"/>
          <w:szCs w:val="24"/>
        </w:rPr>
        <w:t>Yo no soy el mono</w:t>
      </w:r>
      <w:r w:rsidRPr="00EB343F">
        <w:rPr>
          <w:rFonts w:ascii="Times New Roman" w:hAnsi="Times New Roman" w:cs="Times New Roman"/>
          <w:sz w:val="24"/>
          <w:szCs w:val="24"/>
        </w:rPr>
        <w:t xml:space="preserve">: ese animal permanece en su otredad, en su inadaptación (“solo”, “meditabundo y huraño”, 49). El niño (como en el cuento anterior, la clave fantástica es admisible: su psicosis, su autismo o su migraña, son la explicación racional-humana) </w:t>
      </w:r>
      <w:r w:rsidRPr="00EB343F">
        <w:rPr>
          <w:rFonts w:ascii="Times New Roman" w:hAnsi="Times New Roman" w:cs="Times New Roman"/>
          <w:i/>
          <w:sz w:val="24"/>
          <w:szCs w:val="24"/>
        </w:rPr>
        <w:t>persiste en su rareza</w:t>
      </w:r>
      <w:r w:rsidRPr="00EB343F">
        <w:rPr>
          <w:rFonts w:ascii="Times New Roman" w:hAnsi="Times New Roman" w:cs="Times New Roman"/>
          <w:sz w:val="24"/>
          <w:szCs w:val="24"/>
        </w:rPr>
        <w:t xml:space="preserve">, no se deja adaptar ni apropiar, defiende su rebeldía, expone su corporalidad a la corrosión, anhela su aniquilación en la voracidad de la jauría. </w:t>
      </w:r>
      <w:r w:rsidRPr="00EB343F">
        <w:rPr>
          <w:rFonts w:ascii="Times New Roman" w:hAnsi="Times New Roman" w:cs="Times New Roman"/>
          <w:i/>
          <w:sz w:val="24"/>
          <w:szCs w:val="24"/>
        </w:rPr>
        <w:t>Es el mono quien lo constituye como sí-mismo</w:t>
      </w:r>
      <w:r w:rsidRPr="00EB343F">
        <w:rPr>
          <w:rFonts w:ascii="Times New Roman" w:hAnsi="Times New Roman" w:cs="Times New Roman"/>
          <w:sz w:val="24"/>
          <w:szCs w:val="24"/>
        </w:rPr>
        <w:t xml:space="preserve">. El niño </w:t>
      </w:r>
      <w:r w:rsidRPr="00EB343F">
        <w:rPr>
          <w:rFonts w:ascii="Times New Roman" w:hAnsi="Times New Roman" w:cs="Times New Roman"/>
          <w:i/>
          <w:sz w:val="24"/>
          <w:szCs w:val="24"/>
        </w:rPr>
        <w:t>sabe quién es</w:t>
      </w:r>
      <w:r w:rsidRPr="00EB343F">
        <w:rPr>
          <w:rFonts w:ascii="Times New Roman" w:hAnsi="Times New Roman" w:cs="Times New Roman"/>
          <w:sz w:val="24"/>
          <w:szCs w:val="24"/>
        </w:rPr>
        <w:t xml:space="preserve"> (o sabe </w:t>
      </w:r>
      <w:r w:rsidRPr="00EB343F">
        <w:rPr>
          <w:rFonts w:ascii="Times New Roman" w:hAnsi="Times New Roman" w:cs="Times New Roman"/>
          <w:i/>
          <w:sz w:val="24"/>
          <w:szCs w:val="24"/>
        </w:rPr>
        <w:t>lo que no es</w:t>
      </w:r>
      <w:r w:rsidRPr="00EB343F">
        <w:rPr>
          <w:rFonts w:ascii="Times New Roman" w:hAnsi="Times New Roman" w:cs="Times New Roman"/>
          <w:sz w:val="24"/>
          <w:szCs w:val="24"/>
        </w:rPr>
        <w:t xml:space="preserve">) gracias al mono: esa revelación implica su renuncia a lo humano (la familia, el padre autoritario, la madre burguesa). </w:t>
      </w:r>
    </w:p>
    <w:p w:rsidR="003C02D9" w:rsidRPr="00EB343F" w:rsidRDefault="003C02D9" w:rsidP="00755535">
      <w:pPr>
        <w:spacing w:after="0" w:line="360" w:lineRule="auto"/>
        <w:ind w:firstLine="709"/>
        <w:jc w:val="both"/>
        <w:rPr>
          <w:rFonts w:ascii="Times New Roman" w:hAnsi="Times New Roman" w:cs="Times New Roman"/>
          <w:sz w:val="24"/>
          <w:szCs w:val="24"/>
        </w:rPr>
      </w:pPr>
      <w:r w:rsidRPr="00EB343F">
        <w:rPr>
          <w:rFonts w:ascii="Times New Roman" w:hAnsi="Times New Roman" w:cs="Times New Roman"/>
          <w:sz w:val="24"/>
          <w:szCs w:val="24"/>
        </w:rPr>
        <w:t>Hacer un</w:t>
      </w:r>
      <w:r w:rsidR="00E20D6C" w:rsidRPr="00EB343F">
        <w:rPr>
          <w:rFonts w:ascii="Times New Roman" w:hAnsi="Times New Roman" w:cs="Times New Roman"/>
          <w:sz w:val="24"/>
          <w:szCs w:val="24"/>
        </w:rPr>
        <w:t>a</w:t>
      </w:r>
      <w:r w:rsidRPr="00EB343F">
        <w:rPr>
          <w:rFonts w:ascii="Times New Roman" w:hAnsi="Times New Roman" w:cs="Times New Roman"/>
          <w:sz w:val="24"/>
          <w:szCs w:val="24"/>
        </w:rPr>
        <w:t xml:space="preserve"> </w:t>
      </w:r>
      <w:r w:rsidR="00E20D6C" w:rsidRPr="00EB343F">
        <w:rPr>
          <w:rFonts w:ascii="Times New Roman" w:hAnsi="Times New Roman" w:cs="Times New Roman"/>
          <w:sz w:val="24"/>
          <w:szCs w:val="24"/>
        </w:rPr>
        <w:t>síntesis</w:t>
      </w:r>
      <w:r w:rsidRPr="00EB343F">
        <w:rPr>
          <w:rFonts w:ascii="Times New Roman" w:hAnsi="Times New Roman" w:cs="Times New Roman"/>
          <w:sz w:val="24"/>
          <w:szCs w:val="24"/>
        </w:rPr>
        <w:t xml:space="preserve"> de “Es superable” parece implicar ya una interpretación del cuento. Trataremos de resumir</w:t>
      </w:r>
      <w:r w:rsidR="00E20D6C" w:rsidRPr="00EB343F">
        <w:rPr>
          <w:rFonts w:ascii="Times New Roman" w:hAnsi="Times New Roman" w:cs="Times New Roman"/>
          <w:sz w:val="24"/>
          <w:szCs w:val="24"/>
        </w:rPr>
        <w:t>lo hacié</w:t>
      </w:r>
      <w:r w:rsidRPr="00EB343F">
        <w:rPr>
          <w:rFonts w:ascii="Times New Roman" w:hAnsi="Times New Roman" w:cs="Times New Roman"/>
          <w:sz w:val="24"/>
          <w:szCs w:val="24"/>
        </w:rPr>
        <w:t>ndo</w:t>
      </w:r>
      <w:r w:rsidR="00E20D6C" w:rsidRPr="00EB343F">
        <w:rPr>
          <w:rFonts w:ascii="Times New Roman" w:hAnsi="Times New Roman" w:cs="Times New Roman"/>
          <w:sz w:val="24"/>
          <w:szCs w:val="24"/>
        </w:rPr>
        <w:t>le</w:t>
      </w:r>
      <w:r w:rsidRPr="00EB343F">
        <w:rPr>
          <w:rFonts w:ascii="Times New Roman" w:hAnsi="Times New Roman" w:cs="Times New Roman"/>
          <w:sz w:val="24"/>
          <w:szCs w:val="24"/>
        </w:rPr>
        <w:t xml:space="preserve"> la menor violencia antropomórfica posible.</w:t>
      </w:r>
      <w:r w:rsidR="002A6FED" w:rsidRPr="00EB343F">
        <w:rPr>
          <w:rFonts w:ascii="Times New Roman" w:hAnsi="Times New Roman" w:cs="Times New Roman"/>
          <w:sz w:val="24"/>
          <w:szCs w:val="24"/>
        </w:rPr>
        <w:t xml:space="preserve"> </w:t>
      </w:r>
      <w:r w:rsidRPr="00EB343F">
        <w:rPr>
          <w:rFonts w:ascii="Times New Roman" w:hAnsi="Times New Roman" w:cs="Times New Roman"/>
          <w:sz w:val="24"/>
          <w:szCs w:val="24"/>
        </w:rPr>
        <w:t xml:space="preserve">Alguien o algo, una voz narrativa, afirma haber tenido una infancia feliz, con abundante leche de su madre y pastos siempre verdes. A los tres años es “amodorrado de un mazazo en el cráneo” (52), descuartizado y vaciado. Es transportado en un carromato de hojalata. De repente, está en un vehículo a motor y “yo tenía rostro, tenía manos con uñas comparativamente diminutas, pero con un cuerpo vivo, aunque no fuese el mío” (53). Llega a un juzgado y es guardado en una caja fuerte. Los otros lo denominan “hombre” y él mismo parece adherir a esa denominación. Después de un tiempo encerrado o preso, el edificio se incendia y el narrador, atrapado, percibe que en él “se va operando una especie de transformación” (55). Es la segunda metamorfosis. Ahora es un pan. A final, el narrador </w:t>
      </w:r>
      <w:r w:rsidR="00E20D6C" w:rsidRPr="00EB343F">
        <w:rPr>
          <w:rFonts w:ascii="Times New Roman" w:hAnsi="Times New Roman" w:cs="Times New Roman"/>
          <w:sz w:val="24"/>
          <w:szCs w:val="24"/>
        </w:rPr>
        <w:t>se convierte en</w:t>
      </w:r>
      <w:r w:rsidRPr="00EB343F">
        <w:rPr>
          <w:rFonts w:ascii="Times New Roman" w:hAnsi="Times New Roman" w:cs="Times New Roman"/>
          <w:sz w:val="24"/>
          <w:szCs w:val="24"/>
        </w:rPr>
        <w:t xml:space="preserve"> un montón de migajas y conjetura que las aves lo llevarán a “otra muerte, alada” (56). </w:t>
      </w:r>
    </w:p>
    <w:p w:rsidR="003C02D9" w:rsidRPr="00EB343F" w:rsidRDefault="003C02D9" w:rsidP="00755535">
      <w:pPr>
        <w:spacing w:after="0" w:line="360" w:lineRule="auto"/>
        <w:ind w:firstLine="709"/>
        <w:jc w:val="both"/>
        <w:rPr>
          <w:rFonts w:ascii="Times New Roman" w:hAnsi="Times New Roman" w:cs="Times New Roman"/>
          <w:sz w:val="24"/>
          <w:szCs w:val="24"/>
        </w:rPr>
      </w:pPr>
      <w:r w:rsidRPr="00EB343F">
        <w:rPr>
          <w:rFonts w:ascii="Times New Roman" w:hAnsi="Times New Roman" w:cs="Times New Roman"/>
          <w:sz w:val="24"/>
          <w:szCs w:val="24"/>
        </w:rPr>
        <w:t xml:space="preserve">La descripción de la infancia y la primera transformación sugieren un ternero. En </w:t>
      </w:r>
      <w:r w:rsidR="00E20D6C" w:rsidRPr="00EB343F">
        <w:rPr>
          <w:rFonts w:ascii="Times New Roman" w:hAnsi="Times New Roman" w:cs="Times New Roman"/>
          <w:sz w:val="24"/>
          <w:szCs w:val="24"/>
        </w:rPr>
        <w:t>la transformación</w:t>
      </w:r>
      <w:r w:rsidRPr="00EB343F">
        <w:rPr>
          <w:rFonts w:ascii="Times New Roman" w:hAnsi="Times New Roman" w:cs="Times New Roman"/>
          <w:sz w:val="24"/>
          <w:szCs w:val="24"/>
        </w:rPr>
        <w:t xml:space="preserve"> de ternero a hombre se presenta la posibilidad que es así mismo la de la interpretación: “Creo que me cuadraré, que tomaré la forma de la caja de hierro o que, de seguir siendo lo que soy, seré un hombre encogido” (53). Primera posibilidad: algo (quizás un alma: recurso a la metempsicosis) “pasa” de ternero a hombr</w:t>
      </w:r>
      <w:r w:rsidR="002A6FED" w:rsidRPr="00EB343F">
        <w:rPr>
          <w:rFonts w:ascii="Times New Roman" w:hAnsi="Times New Roman" w:cs="Times New Roman"/>
          <w:sz w:val="24"/>
          <w:szCs w:val="24"/>
        </w:rPr>
        <w:t>e</w:t>
      </w:r>
      <w:r w:rsidRPr="00EB343F">
        <w:rPr>
          <w:rFonts w:ascii="Times New Roman" w:hAnsi="Times New Roman" w:cs="Times New Roman"/>
          <w:sz w:val="24"/>
          <w:szCs w:val="24"/>
        </w:rPr>
        <w:t xml:space="preserve">. Es el hombre el que es juzgado, ese “hombre encogido”: estamos en pleno terreno simbólico, un hombre </w:t>
      </w:r>
      <w:r w:rsidRPr="00EB343F">
        <w:rPr>
          <w:rFonts w:ascii="Times New Roman" w:hAnsi="Times New Roman" w:cs="Times New Roman"/>
          <w:sz w:val="24"/>
          <w:szCs w:val="24"/>
        </w:rPr>
        <w:lastRenderedPageBreak/>
        <w:t>encogido es un hombrecillo, un “pobre hombre”. Ese hombrecito sufrirá un martirio de fuego por el que se convertirá en pan. El niño pobre</w:t>
      </w:r>
      <w:r w:rsidR="002A6FED" w:rsidRPr="00EB343F">
        <w:rPr>
          <w:rFonts w:ascii="Times New Roman" w:hAnsi="Times New Roman" w:cs="Times New Roman"/>
          <w:sz w:val="24"/>
          <w:szCs w:val="24"/>
        </w:rPr>
        <w:t xml:space="preserve"> que lo recoge</w:t>
      </w:r>
      <w:r w:rsidRPr="00EB343F">
        <w:rPr>
          <w:rFonts w:ascii="Times New Roman" w:hAnsi="Times New Roman" w:cs="Times New Roman"/>
          <w:sz w:val="24"/>
          <w:szCs w:val="24"/>
        </w:rPr>
        <w:t>, antes de probar un bocado, se persigna. Retrospectiv</w:t>
      </w:r>
      <w:r w:rsidR="00E20D6C" w:rsidRPr="00EB343F">
        <w:rPr>
          <w:rFonts w:ascii="Times New Roman" w:hAnsi="Times New Roman" w:cs="Times New Roman"/>
          <w:sz w:val="24"/>
          <w:szCs w:val="24"/>
        </w:rPr>
        <w:t xml:space="preserve">amente, este camino nos vuelve </w:t>
      </w:r>
      <w:r w:rsidRPr="00EB343F">
        <w:rPr>
          <w:rFonts w:ascii="Times New Roman" w:hAnsi="Times New Roman" w:cs="Times New Roman"/>
          <w:sz w:val="24"/>
          <w:szCs w:val="24"/>
        </w:rPr>
        <w:t>simbólico al ternero y lo desplaza a “cordero” (sacrificial): línea de lectura alegórica y metafórica.</w:t>
      </w:r>
    </w:p>
    <w:p w:rsidR="003C02D9" w:rsidRPr="00EB343F" w:rsidRDefault="003C02D9" w:rsidP="00755535">
      <w:pPr>
        <w:spacing w:after="0" w:line="360" w:lineRule="auto"/>
        <w:ind w:firstLine="709"/>
        <w:jc w:val="both"/>
        <w:rPr>
          <w:rFonts w:ascii="Times New Roman" w:hAnsi="Times New Roman" w:cs="Times New Roman"/>
          <w:sz w:val="24"/>
          <w:szCs w:val="24"/>
        </w:rPr>
      </w:pPr>
      <w:r w:rsidRPr="00EB343F">
        <w:rPr>
          <w:rFonts w:ascii="Times New Roman" w:hAnsi="Times New Roman" w:cs="Times New Roman"/>
          <w:sz w:val="24"/>
          <w:szCs w:val="24"/>
        </w:rPr>
        <w:t xml:space="preserve">Nosotros conjeturamos, por el contrario, que este es uno de los numerosos señuelos simbólicos que extravían la lectura y distraen de su sentido anti-metafórico o anti-fabulístico: el ternero es un ternero, </w:t>
      </w:r>
      <w:r w:rsidRPr="00EB343F">
        <w:rPr>
          <w:rFonts w:ascii="Times New Roman" w:hAnsi="Times New Roman" w:cs="Times New Roman"/>
          <w:i/>
          <w:sz w:val="24"/>
          <w:szCs w:val="24"/>
        </w:rPr>
        <w:t>de carne y hueso</w:t>
      </w:r>
      <w:r w:rsidRPr="00EB343F">
        <w:rPr>
          <w:rFonts w:ascii="Times New Roman" w:hAnsi="Times New Roman" w:cs="Times New Roman"/>
          <w:sz w:val="24"/>
          <w:szCs w:val="24"/>
        </w:rPr>
        <w:t xml:space="preserve">, tanto más cuanto no se lo nombra. La saturación o inflación simbólica, la insistencia en multiplicar los sentidos, oblitera </w:t>
      </w:r>
      <w:r w:rsidR="00E20D6C" w:rsidRPr="00EB343F">
        <w:rPr>
          <w:rFonts w:ascii="Times New Roman" w:hAnsi="Times New Roman" w:cs="Times New Roman"/>
          <w:sz w:val="24"/>
          <w:szCs w:val="24"/>
        </w:rPr>
        <w:t>su</w:t>
      </w:r>
      <w:r w:rsidRPr="00EB343F">
        <w:rPr>
          <w:rFonts w:ascii="Times New Roman" w:hAnsi="Times New Roman" w:cs="Times New Roman"/>
          <w:sz w:val="24"/>
          <w:szCs w:val="24"/>
        </w:rPr>
        <w:t xml:space="preserve"> literalidad: contribuye a escamotear la materialidad viviente del animal, siendo una pieza fundamental en la estructura sacrificial de nuestras sociedades occidentales. En efecto, que el animal </w:t>
      </w:r>
      <w:r w:rsidRPr="00EB343F">
        <w:rPr>
          <w:rFonts w:ascii="Times New Roman" w:hAnsi="Times New Roman" w:cs="Times New Roman"/>
          <w:i/>
          <w:sz w:val="24"/>
          <w:szCs w:val="24"/>
        </w:rPr>
        <w:t xml:space="preserve">siempre deba simbolizar algo </w:t>
      </w:r>
      <w:r w:rsidRPr="00EB343F">
        <w:rPr>
          <w:rFonts w:ascii="Times New Roman" w:hAnsi="Times New Roman" w:cs="Times New Roman"/>
          <w:sz w:val="24"/>
          <w:szCs w:val="24"/>
        </w:rPr>
        <w:t xml:space="preserve">obliga a remitirlo cada vez a la lógica antropocéntrica, pues los símbolos, en su presuposición de “profundidad”, darán, como la Esfinge, la misma respuesta una y otra vez: el hombre. </w:t>
      </w:r>
    </w:p>
    <w:p w:rsidR="003C02D9" w:rsidRPr="00EB343F" w:rsidRDefault="003C02D9" w:rsidP="00755535">
      <w:pPr>
        <w:spacing w:after="0" w:line="360" w:lineRule="auto"/>
        <w:ind w:firstLine="709"/>
        <w:jc w:val="both"/>
        <w:rPr>
          <w:rFonts w:ascii="Times New Roman" w:hAnsi="Times New Roman" w:cs="Times New Roman"/>
          <w:sz w:val="24"/>
          <w:szCs w:val="24"/>
        </w:rPr>
      </w:pPr>
      <w:r w:rsidRPr="00EB343F">
        <w:rPr>
          <w:rFonts w:ascii="Times New Roman" w:hAnsi="Times New Roman" w:cs="Times New Roman"/>
          <w:sz w:val="24"/>
          <w:szCs w:val="24"/>
        </w:rPr>
        <w:t>Eludir la denominación no tiene aquí solamente el sentido de volver incierta la identidad del narrador: más bien sustrae ese cuerpo vivo-muerto de la violencia originaria con la que el nombrar adánico sometió la vida no humana (Derrida</w:t>
      </w:r>
      <w:r w:rsidR="00F26CF8" w:rsidRPr="00EB343F">
        <w:rPr>
          <w:rFonts w:ascii="Times New Roman" w:hAnsi="Times New Roman" w:cs="Times New Roman"/>
          <w:sz w:val="24"/>
          <w:szCs w:val="24"/>
        </w:rPr>
        <w:t>.</w:t>
      </w:r>
      <w:r w:rsidRPr="00EB343F">
        <w:rPr>
          <w:rFonts w:ascii="Times New Roman" w:hAnsi="Times New Roman" w:cs="Times New Roman"/>
          <w:sz w:val="24"/>
          <w:szCs w:val="24"/>
        </w:rPr>
        <w:t xml:space="preserve"> </w:t>
      </w:r>
      <w:r w:rsidR="00F26CF8" w:rsidRPr="00EB343F">
        <w:rPr>
          <w:rFonts w:ascii="Times New Roman" w:hAnsi="Times New Roman" w:cs="Times New Roman"/>
          <w:sz w:val="24"/>
          <w:szCs w:val="24"/>
        </w:rPr>
        <w:t>2008:</w:t>
      </w:r>
      <w:r w:rsidRPr="00EB343F">
        <w:rPr>
          <w:rFonts w:ascii="Times New Roman" w:hAnsi="Times New Roman" w:cs="Times New Roman"/>
          <w:sz w:val="24"/>
          <w:szCs w:val="24"/>
        </w:rPr>
        <w:t xml:space="preserve"> 31-33). En la primera transformación, el narrador afirma que tiene rostro y uñas y que “estaba constreñido, pero con un cuerpo vivo, aunque no fuese el mío” (53). Lo que es constante en la primera transformación es la materialidad </w:t>
      </w:r>
      <w:r w:rsidR="00DE135E" w:rsidRPr="00EB343F">
        <w:rPr>
          <w:rFonts w:ascii="Times New Roman" w:hAnsi="Times New Roman" w:cs="Times New Roman"/>
          <w:sz w:val="24"/>
          <w:szCs w:val="24"/>
        </w:rPr>
        <w:t>corporal</w:t>
      </w:r>
      <w:r w:rsidRPr="00EB343F">
        <w:rPr>
          <w:rFonts w:ascii="Times New Roman" w:hAnsi="Times New Roman" w:cs="Times New Roman"/>
          <w:sz w:val="24"/>
          <w:szCs w:val="24"/>
        </w:rPr>
        <w:t xml:space="preserve">: el ternero desollado se convierte en billetera y es eso lo que viaja alojado en el bolsillo de un preso y después es depositado en la caja fuerte del juez. </w:t>
      </w:r>
    </w:p>
    <w:p w:rsidR="003C02D9" w:rsidRPr="00EB343F" w:rsidRDefault="003C02D9" w:rsidP="00755535">
      <w:pPr>
        <w:spacing w:after="0" w:line="360" w:lineRule="auto"/>
        <w:ind w:firstLine="709"/>
        <w:jc w:val="both"/>
        <w:rPr>
          <w:rFonts w:ascii="Times New Roman" w:hAnsi="Times New Roman" w:cs="Times New Roman"/>
          <w:sz w:val="24"/>
          <w:szCs w:val="24"/>
        </w:rPr>
      </w:pPr>
      <w:r w:rsidRPr="00EB343F">
        <w:rPr>
          <w:rFonts w:ascii="Times New Roman" w:hAnsi="Times New Roman" w:cs="Times New Roman"/>
          <w:sz w:val="24"/>
          <w:szCs w:val="24"/>
        </w:rPr>
        <w:t xml:space="preserve">Esa es la conjetura del narrador en la oscuridad de su encierro: </w:t>
      </w:r>
      <w:r w:rsidR="00EB343F" w:rsidRPr="00EB343F">
        <w:rPr>
          <w:rFonts w:ascii="Times New Roman" w:hAnsi="Times New Roman" w:cs="Times New Roman"/>
          <w:sz w:val="24"/>
          <w:szCs w:val="24"/>
        </w:rPr>
        <w:t>“</w:t>
      </w:r>
      <w:r w:rsidRPr="00EB343F">
        <w:rPr>
          <w:rFonts w:ascii="Times New Roman" w:hAnsi="Times New Roman" w:cs="Times New Roman"/>
          <w:sz w:val="24"/>
          <w:szCs w:val="24"/>
        </w:rPr>
        <w:t>Ahora también existo; pero pienso. Y no puedo entender si la angustia me viene de pensar o si es que hace falta la angustia para poder pensar</w:t>
      </w:r>
      <w:r w:rsidR="00EB343F" w:rsidRPr="00EB343F">
        <w:rPr>
          <w:rFonts w:ascii="Times New Roman" w:hAnsi="Times New Roman" w:cs="Times New Roman"/>
          <w:sz w:val="24"/>
          <w:szCs w:val="24"/>
        </w:rPr>
        <w:t>”</w:t>
      </w:r>
      <w:r w:rsidRPr="00EB343F">
        <w:rPr>
          <w:rFonts w:ascii="Times New Roman" w:hAnsi="Times New Roman" w:cs="Times New Roman"/>
          <w:sz w:val="24"/>
          <w:szCs w:val="24"/>
        </w:rPr>
        <w:t xml:space="preserve"> (53). </w:t>
      </w:r>
      <w:r w:rsidRPr="00EB343F">
        <w:rPr>
          <w:rFonts w:ascii="Times New Roman" w:hAnsi="Times New Roman" w:cs="Times New Roman"/>
          <w:i/>
          <w:sz w:val="24"/>
          <w:szCs w:val="24"/>
        </w:rPr>
        <w:t>Existo pero pienso</w:t>
      </w:r>
      <w:r w:rsidRPr="00EB343F">
        <w:rPr>
          <w:rFonts w:ascii="Times New Roman" w:hAnsi="Times New Roman" w:cs="Times New Roman"/>
          <w:sz w:val="24"/>
          <w:szCs w:val="24"/>
        </w:rPr>
        <w:t xml:space="preserve">: singular alteración de la fórmula cartesiana. Existir sería en este relato </w:t>
      </w:r>
      <w:r w:rsidRPr="00EB343F">
        <w:rPr>
          <w:rFonts w:ascii="Times New Roman" w:hAnsi="Times New Roman" w:cs="Times New Roman"/>
          <w:i/>
          <w:sz w:val="24"/>
          <w:szCs w:val="24"/>
        </w:rPr>
        <w:t>el persistir de cierta forma de vida o de ciertas partículas de viviente</w:t>
      </w:r>
      <w:r w:rsidRPr="00EB343F">
        <w:rPr>
          <w:rFonts w:ascii="Times New Roman" w:hAnsi="Times New Roman" w:cs="Times New Roman"/>
          <w:sz w:val="24"/>
          <w:szCs w:val="24"/>
        </w:rPr>
        <w:t xml:space="preserve">. En efecto, hasta el desenlace, </w:t>
      </w:r>
      <w:r w:rsidRPr="00EB343F">
        <w:rPr>
          <w:rFonts w:ascii="Times New Roman" w:hAnsi="Times New Roman" w:cs="Times New Roman"/>
          <w:i/>
          <w:sz w:val="24"/>
          <w:szCs w:val="24"/>
        </w:rPr>
        <w:t>eso persiste</w:t>
      </w:r>
      <w:r w:rsidRPr="00EB343F">
        <w:rPr>
          <w:rFonts w:ascii="Times New Roman" w:hAnsi="Times New Roman" w:cs="Times New Roman"/>
          <w:sz w:val="24"/>
          <w:szCs w:val="24"/>
        </w:rPr>
        <w:t xml:space="preserve">, en una promesa (o amenaza) de otras transformaciones que sin embargo no lo aniquilarán nunca por completo. Además de existir, </w:t>
      </w:r>
      <w:r w:rsidRPr="00EB343F">
        <w:rPr>
          <w:rFonts w:ascii="Times New Roman" w:hAnsi="Times New Roman" w:cs="Times New Roman"/>
          <w:i/>
          <w:sz w:val="24"/>
          <w:szCs w:val="24"/>
        </w:rPr>
        <w:t>eso piensa</w:t>
      </w:r>
      <w:r w:rsidRPr="00EB343F">
        <w:rPr>
          <w:rFonts w:ascii="Times New Roman" w:hAnsi="Times New Roman" w:cs="Times New Roman"/>
          <w:sz w:val="24"/>
          <w:szCs w:val="24"/>
        </w:rPr>
        <w:t xml:space="preserve">: no solo hay inversión del cartesianismo, sino que el vínculo entre existir y pensar es contingente. Nótese cómo la cita parece ir en la dirección de la interpretación simbólica. Sin embargo, en tanto esa voz narrativa puede ser atribuible a un </w:t>
      </w:r>
      <w:r w:rsidRPr="00EB343F">
        <w:rPr>
          <w:rFonts w:ascii="Times New Roman" w:hAnsi="Times New Roman" w:cs="Times New Roman"/>
          <w:i/>
          <w:sz w:val="24"/>
          <w:szCs w:val="24"/>
        </w:rPr>
        <w:t>qué</w:t>
      </w:r>
      <w:r w:rsidRPr="00EB343F">
        <w:rPr>
          <w:rFonts w:ascii="Times New Roman" w:hAnsi="Times New Roman" w:cs="Times New Roman"/>
          <w:sz w:val="24"/>
          <w:szCs w:val="24"/>
        </w:rPr>
        <w:t xml:space="preserve"> y no a un </w:t>
      </w:r>
      <w:r w:rsidRPr="00EB343F">
        <w:rPr>
          <w:rFonts w:ascii="Times New Roman" w:hAnsi="Times New Roman" w:cs="Times New Roman"/>
          <w:i/>
          <w:sz w:val="24"/>
          <w:szCs w:val="24"/>
        </w:rPr>
        <w:t>quién</w:t>
      </w:r>
      <w:r w:rsidRPr="00EB343F">
        <w:rPr>
          <w:rFonts w:ascii="Times New Roman" w:hAnsi="Times New Roman" w:cs="Times New Roman"/>
          <w:sz w:val="24"/>
          <w:szCs w:val="24"/>
        </w:rPr>
        <w:t xml:space="preserve">, se puede conjeturar que se distancia de la relación entre pensamiento y angustia: “Percibo mucha angustia entre los que podían pensar antes de que yo pensara, aunque ellos habitualmente no piensen como si pensaran…” (53) El narrador se refiere a los empleados de la limpieza, uno de los cuales, quejándose de su </w:t>
      </w:r>
      <w:r w:rsidRPr="00EB343F">
        <w:rPr>
          <w:rFonts w:ascii="Times New Roman" w:hAnsi="Times New Roman" w:cs="Times New Roman"/>
          <w:sz w:val="24"/>
          <w:szCs w:val="24"/>
        </w:rPr>
        <w:lastRenderedPageBreak/>
        <w:t xml:space="preserve">vida, anhela la paz del campo. </w:t>
      </w:r>
      <w:r w:rsidRPr="00EB343F">
        <w:rPr>
          <w:rFonts w:ascii="Times New Roman" w:hAnsi="Times New Roman" w:cs="Times New Roman"/>
          <w:i/>
          <w:sz w:val="24"/>
          <w:szCs w:val="24"/>
        </w:rPr>
        <w:t>El hombre es un animal que piensa sin pensar y que se angustia</w:t>
      </w:r>
      <w:r w:rsidRPr="00EB343F">
        <w:rPr>
          <w:rFonts w:ascii="Times New Roman" w:hAnsi="Times New Roman" w:cs="Times New Roman"/>
          <w:sz w:val="24"/>
          <w:szCs w:val="24"/>
        </w:rPr>
        <w:t xml:space="preserve">. Piensa sin pensar, precisamente, porque, al contrario del ternero vuelto cuero, el hombre </w:t>
      </w:r>
      <w:r w:rsidRPr="00EB343F">
        <w:rPr>
          <w:rFonts w:ascii="Times New Roman" w:hAnsi="Times New Roman" w:cs="Times New Roman"/>
          <w:i/>
          <w:sz w:val="24"/>
          <w:szCs w:val="24"/>
        </w:rPr>
        <w:t>ha escamoteado su propia materialidad</w:t>
      </w:r>
      <w:r w:rsidRPr="00EB343F">
        <w:rPr>
          <w:rFonts w:ascii="Times New Roman" w:hAnsi="Times New Roman" w:cs="Times New Roman"/>
          <w:sz w:val="24"/>
          <w:szCs w:val="24"/>
        </w:rPr>
        <w:t xml:space="preserve">: si, como afirma Nietzsche, </w:t>
      </w:r>
      <w:r w:rsidRPr="00EB343F">
        <w:rPr>
          <w:rFonts w:ascii="Times New Roman" w:hAnsi="Times New Roman" w:cs="Times New Roman"/>
          <w:i/>
          <w:sz w:val="24"/>
          <w:szCs w:val="24"/>
        </w:rPr>
        <w:t xml:space="preserve">ello piensa </w:t>
      </w:r>
      <w:r w:rsidRPr="00EB343F">
        <w:rPr>
          <w:rFonts w:ascii="Times New Roman" w:hAnsi="Times New Roman" w:cs="Times New Roman"/>
          <w:sz w:val="24"/>
          <w:szCs w:val="24"/>
        </w:rPr>
        <w:t>(</w:t>
      </w:r>
      <w:r w:rsidR="00F26CF8" w:rsidRPr="00EB343F">
        <w:rPr>
          <w:rFonts w:ascii="Times New Roman" w:hAnsi="Times New Roman" w:cs="Times New Roman"/>
          <w:sz w:val="24"/>
          <w:szCs w:val="24"/>
        </w:rPr>
        <w:t>1999:</w:t>
      </w:r>
      <w:r w:rsidRPr="00EB343F">
        <w:rPr>
          <w:rFonts w:ascii="Times New Roman" w:hAnsi="Times New Roman" w:cs="Times New Roman"/>
          <w:sz w:val="24"/>
          <w:szCs w:val="24"/>
        </w:rPr>
        <w:t xml:space="preserve"> 38), los hombres que “piensan como si no pensaran” son, para esta voz narrativa, los que han obliterado su propia materialidad, su propio cuerpo, más originario que el pensamiento. </w:t>
      </w:r>
    </w:p>
    <w:p w:rsidR="003C02D9" w:rsidRPr="00EB343F" w:rsidRDefault="003C02D9" w:rsidP="00755535">
      <w:pPr>
        <w:spacing w:after="0" w:line="360" w:lineRule="auto"/>
        <w:ind w:firstLine="709"/>
        <w:jc w:val="both"/>
        <w:rPr>
          <w:rFonts w:ascii="Times New Roman" w:hAnsi="Times New Roman" w:cs="Times New Roman"/>
          <w:sz w:val="24"/>
          <w:szCs w:val="24"/>
        </w:rPr>
      </w:pPr>
      <w:r w:rsidRPr="00EB343F">
        <w:rPr>
          <w:rFonts w:ascii="Times New Roman" w:hAnsi="Times New Roman" w:cs="Times New Roman"/>
          <w:sz w:val="24"/>
          <w:szCs w:val="24"/>
        </w:rPr>
        <w:t>El último párrafo es elocuente: “Yo acepto. La vida es superable” (57). Paradójicamente, este “yo” que acepta ha alcanzado el máximo nivel de despersonalización y de multiplicación: esa aceptación es, quizás, el hecho de que la muerte se encuentre inscrita e</w:t>
      </w:r>
      <w:r w:rsidR="00C966FD" w:rsidRPr="00EB343F">
        <w:rPr>
          <w:rFonts w:ascii="Times New Roman" w:hAnsi="Times New Roman" w:cs="Times New Roman"/>
          <w:sz w:val="24"/>
          <w:szCs w:val="24"/>
        </w:rPr>
        <w:t xml:space="preserve">n la vida (Derrida, </w:t>
      </w:r>
      <w:r w:rsidRPr="00EB343F">
        <w:rPr>
          <w:rFonts w:ascii="Times New Roman" w:hAnsi="Times New Roman" w:cs="Times New Roman"/>
          <w:sz w:val="24"/>
          <w:szCs w:val="24"/>
        </w:rPr>
        <w:t>2010: 141). Como el animal nietzscheano, el viviente de este relato retorna a cada mundo como un inmortal, incapaz de una sola muerte (Lippit</w:t>
      </w:r>
      <w:r w:rsidR="00C966FD" w:rsidRPr="00EB343F">
        <w:rPr>
          <w:rFonts w:ascii="Times New Roman" w:hAnsi="Times New Roman" w:cs="Times New Roman"/>
          <w:sz w:val="24"/>
          <w:szCs w:val="24"/>
        </w:rPr>
        <w:t>, 2000:</w:t>
      </w:r>
      <w:r w:rsidRPr="00EB343F">
        <w:rPr>
          <w:rFonts w:ascii="Times New Roman" w:hAnsi="Times New Roman" w:cs="Times New Roman"/>
          <w:sz w:val="24"/>
          <w:szCs w:val="24"/>
        </w:rPr>
        <w:t xml:space="preserve"> 68). </w:t>
      </w:r>
      <w:r w:rsidR="00DE135E" w:rsidRPr="00EB343F">
        <w:rPr>
          <w:rFonts w:ascii="Times New Roman" w:hAnsi="Times New Roman" w:cs="Times New Roman"/>
          <w:sz w:val="24"/>
          <w:szCs w:val="24"/>
        </w:rPr>
        <w:t>S</w:t>
      </w:r>
      <w:r w:rsidRPr="00EB343F">
        <w:rPr>
          <w:rFonts w:ascii="Times New Roman" w:hAnsi="Times New Roman" w:cs="Times New Roman"/>
          <w:sz w:val="24"/>
          <w:szCs w:val="24"/>
        </w:rPr>
        <w:t xml:space="preserve">i hay algo humano en eso que narra, si eso ha podido </w:t>
      </w:r>
      <w:r w:rsidR="00DE135E" w:rsidRPr="00EB343F">
        <w:rPr>
          <w:rFonts w:ascii="Times New Roman" w:hAnsi="Times New Roman" w:cs="Times New Roman"/>
          <w:sz w:val="24"/>
          <w:szCs w:val="24"/>
        </w:rPr>
        <w:t>inscribir</w:t>
      </w:r>
      <w:r w:rsidRPr="00EB343F">
        <w:rPr>
          <w:rFonts w:ascii="Times New Roman" w:hAnsi="Times New Roman" w:cs="Times New Roman"/>
          <w:sz w:val="24"/>
          <w:szCs w:val="24"/>
        </w:rPr>
        <w:t>, en su devenir, algo así como un rasgo humano, se debe a que la memoria ha sido la consecuencia de un dolor, de un tormento, que se ha grabado a fuego en la carne</w:t>
      </w:r>
      <w:r w:rsidRPr="00EB343F">
        <w:rPr>
          <w:rFonts w:ascii="Times New Roman" w:hAnsi="Times New Roman" w:cs="Times New Roman"/>
          <w:i/>
          <w:sz w:val="24"/>
          <w:szCs w:val="24"/>
        </w:rPr>
        <w:t xml:space="preserve"> </w:t>
      </w:r>
      <w:r w:rsidRPr="00EB343F">
        <w:rPr>
          <w:rFonts w:ascii="Times New Roman" w:hAnsi="Times New Roman" w:cs="Times New Roman"/>
          <w:sz w:val="24"/>
          <w:szCs w:val="24"/>
        </w:rPr>
        <w:t>(Nietzsche</w:t>
      </w:r>
      <w:r w:rsidR="00C966FD" w:rsidRPr="00EB343F">
        <w:rPr>
          <w:rFonts w:ascii="Times New Roman" w:hAnsi="Times New Roman" w:cs="Times New Roman"/>
          <w:sz w:val="24"/>
          <w:szCs w:val="24"/>
        </w:rPr>
        <w:t>, 2005:</w:t>
      </w:r>
      <w:r w:rsidRPr="00EB343F">
        <w:rPr>
          <w:rFonts w:ascii="Times New Roman" w:hAnsi="Times New Roman" w:cs="Times New Roman"/>
          <w:sz w:val="24"/>
          <w:szCs w:val="24"/>
        </w:rPr>
        <w:t xml:space="preserve"> 79-80). En el relato, la inscripción de la tortura y el sacrificio </w:t>
      </w:r>
      <w:r w:rsidRPr="00EB343F">
        <w:rPr>
          <w:rFonts w:ascii="Times New Roman" w:hAnsi="Times New Roman" w:cs="Times New Roman"/>
          <w:i/>
          <w:sz w:val="24"/>
          <w:szCs w:val="24"/>
        </w:rPr>
        <w:t>es más originaria</w:t>
      </w:r>
      <w:r w:rsidRPr="00EB343F">
        <w:rPr>
          <w:rFonts w:ascii="Times New Roman" w:hAnsi="Times New Roman" w:cs="Times New Roman"/>
          <w:sz w:val="24"/>
          <w:szCs w:val="24"/>
        </w:rPr>
        <w:t xml:space="preserve"> que el pensamiento y la angustia. El hombre es un animal que no puede olvidar el tormento del que proviene su especie. La lectura literal desconstruye la cerrazón simbólica que haría del ternero un cordero sacrificial, volviéndolo metáfora del sacrificio divino-humano. </w:t>
      </w:r>
    </w:p>
    <w:p w:rsidR="003C02D9" w:rsidRPr="00EB343F" w:rsidRDefault="003C02D9" w:rsidP="00755535">
      <w:pPr>
        <w:spacing w:after="0" w:line="360" w:lineRule="auto"/>
        <w:ind w:firstLine="709"/>
        <w:jc w:val="both"/>
        <w:rPr>
          <w:rFonts w:ascii="Times New Roman" w:hAnsi="Times New Roman" w:cs="Times New Roman"/>
          <w:sz w:val="24"/>
          <w:szCs w:val="24"/>
        </w:rPr>
      </w:pPr>
      <w:r w:rsidRPr="00EB343F">
        <w:rPr>
          <w:rFonts w:ascii="Times New Roman" w:hAnsi="Times New Roman" w:cs="Times New Roman"/>
          <w:sz w:val="24"/>
          <w:szCs w:val="24"/>
        </w:rPr>
        <w:t xml:space="preserve">Examinemos otro relato, “En rojo de culpa”. </w:t>
      </w:r>
      <w:r w:rsidR="00992F37" w:rsidRPr="00EB343F">
        <w:rPr>
          <w:rFonts w:ascii="Times New Roman" w:hAnsi="Times New Roman" w:cs="Times New Roman"/>
          <w:sz w:val="24"/>
          <w:szCs w:val="24"/>
        </w:rPr>
        <w:t>En este caso, el procedimiento de la inversión opera en la concepción misma del cuento</w:t>
      </w:r>
      <w:r w:rsidRPr="00EB343F">
        <w:rPr>
          <w:rFonts w:ascii="Times New Roman" w:hAnsi="Times New Roman" w:cs="Times New Roman"/>
          <w:sz w:val="24"/>
          <w:szCs w:val="24"/>
        </w:rPr>
        <w:t xml:space="preserve">. Si los ratones se han erigido, históricamente, como chivo expiatorio de enfermedades y pestes que han azotado a la humanidad, aquí son los ratones los que sufren males que atribuyen, ora a los hombres, ora a la civilización que han erigido los hombres (“cuando infestan una ciudad, la culpa es de la ciudad”, 66). Tenemos de nuevo el modelo de la fábula dentro de un relato que la abarca y la desestabiliza: los ratones, como especie, poseen atributos humanos, cometen “canalladas”. No obstante, se consideran “inculpables”, </w:t>
      </w:r>
      <w:r w:rsidR="00992F37" w:rsidRPr="00EB343F">
        <w:rPr>
          <w:rFonts w:ascii="Times New Roman" w:hAnsi="Times New Roman" w:cs="Times New Roman"/>
          <w:sz w:val="24"/>
          <w:szCs w:val="24"/>
        </w:rPr>
        <w:t xml:space="preserve">pues </w:t>
      </w:r>
      <w:r w:rsidRPr="00EB343F">
        <w:rPr>
          <w:rFonts w:ascii="Times New Roman" w:hAnsi="Times New Roman" w:cs="Times New Roman"/>
          <w:sz w:val="24"/>
          <w:szCs w:val="24"/>
        </w:rPr>
        <w:t>tiene</w:t>
      </w:r>
      <w:r w:rsidR="00992F37" w:rsidRPr="00EB343F">
        <w:rPr>
          <w:rFonts w:ascii="Times New Roman" w:hAnsi="Times New Roman" w:cs="Times New Roman"/>
          <w:sz w:val="24"/>
          <w:szCs w:val="24"/>
        </w:rPr>
        <w:t>n</w:t>
      </w:r>
      <w:r w:rsidRPr="00EB343F">
        <w:rPr>
          <w:rFonts w:ascii="Times New Roman" w:hAnsi="Times New Roman" w:cs="Times New Roman"/>
          <w:sz w:val="24"/>
          <w:szCs w:val="24"/>
        </w:rPr>
        <w:t xml:space="preserve"> en quien descargar la culpa. El narrador, Abel, llamado por los ratones Caín, es quien se hace cargo, mediante un pago, de la culpa colectiva de los ratones. Para </w:t>
      </w:r>
      <w:r w:rsidR="00992F37" w:rsidRPr="00EB343F">
        <w:rPr>
          <w:rFonts w:ascii="Times New Roman" w:hAnsi="Times New Roman" w:cs="Times New Roman"/>
          <w:sz w:val="24"/>
          <w:szCs w:val="24"/>
        </w:rPr>
        <w:t>Abel</w:t>
      </w:r>
      <w:r w:rsidRPr="00EB343F">
        <w:rPr>
          <w:rFonts w:ascii="Times New Roman" w:hAnsi="Times New Roman" w:cs="Times New Roman"/>
          <w:sz w:val="24"/>
          <w:szCs w:val="24"/>
        </w:rPr>
        <w:t xml:space="preserve">, el mecanismo de los ratones es “absurdo”, </w:t>
      </w:r>
      <w:r w:rsidR="00992F37" w:rsidRPr="00EB343F">
        <w:rPr>
          <w:rFonts w:ascii="Times New Roman" w:hAnsi="Times New Roman" w:cs="Times New Roman"/>
          <w:sz w:val="24"/>
          <w:szCs w:val="24"/>
        </w:rPr>
        <w:t>ya</w:t>
      </w:r>
      <w:r w:rsidRPr="00EB343F">
        <w:rPr>
          <w:rFonts w:ascii="Times New Roman" w:hAnsi="Times New Roman" w:cs="Times New Roman"/>
          <w:sz w:val="24"/>
          <w:szCs w:val="24"/>
        </w:rPr>
        <w:t xml:space="preserve"> que no lo exponen al resto de la humanidad como culpable, sino que “se conforman con saber que el culpable soy yo, aunque no lo sea” (67). Ahora bien, esta presunta falta de sentido esconde una lógica. Los ratones establecen una relación directa, intrínseca, entre el “pago” y la “culpa”. Si el origen de la culpa debe situarse, como quiere Nietzsche, en la relación prehistórica entre el acreedor y el deudor (</w:t>
      </w:r>
      <w:r w:rsidR="00C966FD" w:rsidRPr="00EB343F">
        <w:rPr>
          <w:rFonts w:ascii="Times New Roman" w:hAnsi="Times New Roman" w:cs="Times New Roman"/>
          <w:sz w:val="24"/>
          <w:szCs w:val="24"/>
        </w:rPr>
        <w:t>2005:</w:t>
      </w:r>
      <w:r w:rsidRPr="00EB343F">
        <w:rPr>
          <w:rFonts w:ascii="Times New Roman" w:hAnsi="Times New Roman" w:cs="Times New Roman"/>
          <w:sz w:val="24"/>
          <w:szCs w:val="24"/>
        </w:rPr>
        <w:t xml:space="preserve"> 82-83), </w:t>
      </w:r>
      <w:r w:rsidRPr="00EB343F">
        <w:rPr>
          <w:rFonts w:ascii="Times New Roman" w:hAnsi="Times New Roman" w:cs="Times New Roman"/>
          <w:sz w:val="24"/>
          <w:szCs w:val="24"/>
        </w:rPr>
        <w:lastRenderedPageBreak/>
        <w:t>los ratones de esta fábula desentrañan ese vínculo originario comprando a un hombre para evacuar las consecuencias de sus daños. Como los griegos, los ratones permanecen inculpables gracias al artilugio de atribuir la “locura” (y no el “pecado”), no a un dios (por lo demás, antropomorfo entre los griegos), sino a un hombre (</w:t>
      </w:r>
      <w:r w:rsidR="00C966FD" w:rsidRPr="00EB343F">
        <w:rPr>
          <w:rFonts w:ascii="Times New Roman" w:hAnsi="Times New Roman" w:cs="Times New Roman"/>
          <w:sz w:val="24"/>
          <w:szCs w:val="24"/>
        </w:rPr>
        <w:t xml:space="preserve">2005: </w:t>
      </w:r>
      <w:r w:rsidRPr="00EB343F">
        <w:rPr>
          <w:rFonts w:ascii="Times New Roman" w:hAnsi="Times New Roman" w:cs="Times New Roman"/>
          <w:sz w:val="24"/>
          <w:szCs w:val="24"/>
        </w:rPr>
        <w:t>120-121) que</w:t>
      </w:r>
      <w:r w:rsidR="0048735F" w:rsidRPr="00EB343F">
        <w:rPr>
          <w:rFonts w:ascii="Times New Roman" w:hAnsi="Times New Roman" w:cs="Times New Roman"/>
          <w:sz w:val="24"/>
          <w:szCs w:val="24"/>
        </w:rPr>
        <w:t>,</w:t>
      </w:r>
      <w:r w:rsidRPr="00EB343F">
        <w:rPr>
          <w:rFonts w:ascii="Times New Roman" w:hAnsi="Times New Roman" w:cs="Times New Roman"/>
          <w:sz w:val="24"/>
          <w:szCs w:val="24"/>
        </w:rPr>
        <w:t xml:space="preserve"> gracias a este “ruin y desconsolador oficio” (66), puede mantener a su mujer y a sus hijos. </w:t>
      </w:r>
      <w:r w:rsidR="00992F37" w:rsidRPr="00EB343F">
        <w:rPr>
          <w:rFonts w:ascii="Times New Roman" w:hAnsi="Times New Roman" w:cs="Times New Roman"/>
          <w:sz w:val="24"/>
          <w:szCs w:val="24"/>
        </w:rPr>
        <w:t xml:space="preserve">Con sarcasmo o ironía, </w:t>
      </w:r>
      <w:r w:rsidRPr="00EB343F">
        <w:rPr>
          <w:rFonts w:ascii="Times New Roman" w:hAnsi="Times New Roman" w:cs="Times New Roman"/>
          <w:sz w:val="24"/>
          <w:szCs w:val="24"/>
        </w:rPr>
        <w:t xml:space="preserve">los roedores </w:t>
      </w:r>
      <w:r w:rsidR="00992F37" w:rsidRPr="00EB343F">
        <w:rPr>
          <w:rFonts w:ascii="Times New Roman" w:hAnsi="Times New Roman" w:cs="Times New Roman"/>
          <w:sz w:val="24"/>
          <w:szCs w:val="24"/>
        </w:rPr>
        <w:t>lo llaman</w:t>
      </w:r>
      <w:r w:rsidRPr="00EB343F">
        <w:rPr>
          <w:rFonts w:ascii="Times New Roman" w:hAnsi="Times New Roman" w:cs="Times New Roman"/>
          <w:sz w:val="24"/>
          <w:szCs w:val="24"/>
        </w:rPr>
        <w:t xml:space="preserve"> Caín, ese personaje </w:t>
      </w:r>
      <w:r w:rsidR="00992F37" w:rsidRPr="00EB343F">
        <w:rPr>
          <w:rFonts w:ascii="Times New Roman" w:hAnsi="Times New Roman" w:cs="Times New Roman"/>
          <w:sz w:val="24"/>
          <w:szCs w:val="24"/>
        </w:rPr>
        <w:t>sobre</w:t>
      </w:r>
      <w:r w:rsidRPr="00EB343F">
        <w:rPr>
          <w:rFonts w:ascii="Times New Roman" w:hAnsi="Times New Roman" w:cs="Times New Roman"/>
          <w:sz w:val="24"/>
          <w:szCs w:val="24"/>
        </w:rPr>
        <w:t xml:space="preserve"> el que el Antiguo Testamento narra “una especie de segundo pecado original” (Derrida</w:t>
      </w:r>
      <w:r w:rsidR="00C966FD" w:rsidRPr="00EB343F">
        <w:rPr>
          <w:rFonts w:ascii="Times New Roman" w:hAnsi="Times New Roman" w:cs="Times New Roman"/>
          <w:sz w:val="24"/>
          <w:szCs w:val="24"/>
        </w:rPr>
        <w:t xml:space="preserve">, 2008: </w:t>
      </w:r>
      <w:r w:rsidRPr="00EB343F">
        <w:rPr>
          <w:rFonts w:ascii="Times New Roman" w:hAnsi="Times New Roman" w:cs="Times New Roman"/>
          <w:sz w:val="24"/>
          <w:szCs w:val="24"/>
        </w:rPr>
        <w:t>59</w:t>
      </w:r>
      <w:r w:rsidR="007B1151" w:rsidRPr="00EB343F">
        <w:rPr>
          <w:rFonts w:ascii="Times New Roman" w:hAnsi="Times New Roman" w:cs="Times New Roman"/>
          <w:sz w:val="24"/>
          <w:szCs w:val="24"/>
        </w:rPr>
        <w:t xml:space="preserve">). Esta culpa paga es, además, </w:t>
      </w:r>
      <w:r w:rsidRPr="00EB343F">
        <w:rPr>
          <w:rFonts w:ascii="Times New Roman" w:hAnsi="Times New Roman" w:cs="Times New Roman"/>
          <w:i/>
          <w:sz w:val="24"/>
          <w:szCs w:val="24"/>
        </w:rPr>
        <w:t>representante</w:t>
      </w:r>
      <w:r w:rsidRPr="00EB343F">
        <w:rPr>
          <w:rFonts w:ascii="Times New Roman" w:hAnsi="Times New Roman" w:cs="Times New Roman"/>
          <w:sz w:val="24"/>
          <w:szCs w:val="24"/>
        </w:rPr>
        <w:t xml:space="preserve"> de toda la humanidad</w:t>
      </w:r>
      <w:r w:rsidR="0048735F" w:rsidRPr="00EB343F">
        <w:rPr>
          <w:rFonts w:ascii="Times New Roman" w:hAnsi="Times New Roman" w:cs="Times New Roman"/>
          <w:sz w:val="24"/>
          <w:szCs w:val="24"/>
        </w:rPr>
        <w:t>.</w:t>
      </w:r>
      <w:r w:rsidRPr="00EB343F">
        <w:rPr>
          <w:rFonts w:ascii="Times New Roman" w:hAnsi="Times New Roman" w:cs="Times New Roman"/>
          <w:sz w:val="24"/>
          <w:szCs w:val="24"/>
        </w:rPr>
        <w:t xml:space="preserve"> </w:t>
      </w:r>
      <w:r w:rsidR="00992F37" w:rsidRPr="00EB343F">
        <w:rPr>
          <w:rFonts w:ascii="Times New Roman" w:hAnsi="Times New Roman" w:cs="Times New Roman"/>
          <w:sz w:val="24"/>
          <w:szCs w:val="24"/>
        </w:rPr>
        <w:t>De modo que e</w:t>
      </w:r>
      <w:r w:rsidRPr="00EB343F">
        <w:rPr>
          <w:rFonts w:ascii="Times New Roman" w:hAnsi="Times New Roman" w:cs="Times New Roman"/>
          <w:sz w:val="24"/>
          <w:szCs w:val="24"/>
        </w:rPr>
        <w:t xml:space="preserve">l narrador, como un Cristo, es depositario de las culpas. Pero esa atribución no es humana, ni es divina: son los ratones quienes ponen en el tapete esa culpabilidad que los constituye como especie. </w:t>
      </w:r>
    </w:p>
    <w:p w:rsidR="003C02D9" w:rsidRPr="00EB343F" w:rsidRDefault="003C02D9" w:rsidP="00755535">
      <w:pPr>
        <w:spacing w:after="0" w:line="360" w:lineRule="auto"/>
        <w:ind w:firstLine="709"/>
        <w:jc w:val="both"/>
        <w:rPr>
          <w:rFonts w:ascii="Times New Roman" w:hAnsi="Times New Roman" w:cs="Times New Roman"/>
          <w:sz w:val="24"/>
          <w:szCs w:val="24"/>
        </w:rPr>
      </w:pPr>
      <w:r w:rsidRPr="00EB343F">
        <w:rPr>
          <w:rFonts w:ascii="Times New Roman" w:hAnsi="Times New Roman" w:cs="Times New Roman"/>
          <w:sz w:val="24"/>
          <w:szCs w:val="24"/>
        </w:rPr>
        <w:t xml:space="preserve">Después de una serie de daños que los roedores ocasionan en una antigua casa, lo que desemboca en la muerte de una mujer, son perseguidos y casi exterminados por el viudo vengador. La peste bubónica se desata y los hijos de la mujer también mueren. Entonces se vuelven contra el narrador. Lo rodean de ratones muertos y lo atacan. Se introducen en su boca y penetran en su interior, desgarrándolo. Pero Abel no muere. Sobrevive con su cuerpo destrozado y contempla el horror. ¿Quién es este Abel, que los ratones llaman Caín? Pues no puede ser otro que la mala conciencia humana: </w:t>
      </w:r>
      <w:r w:rsidRPr="00EB343F">
        <w:rPr>
          <w:rFonts w:ascii="Times New Roman" w:hAnsi="Times New Roman" w:cs="Times New Roman"/>
          <w:i/>
          <w:sz w:val="24"/>
          <w:szCs w:val="24"/>
        </w:rPr>
        <w:t>es el humano el</w:t>
      </w:r>
      <w:r w:rsidR="0048735F" w:rsidRPr="00EB343F">
        <w:rPr>
          <w:rFonts w:ascii="Times New Roman" w:hAnsi="Times New Roman" w:cs="Times New Roman"/>
          <w:i/>
          <w:sz w:val="24"/>
          <w:szCs w:val="24"/>
        </w:rPr>
        <w:t xml:space="preserve"> que sufre la captura simbólica</w:t>
      </w:r>
      <w:r w:rsidR="0048735F" w:rsidRPr="00EB343F">
        <w:rPr>
          <w:rFonts w:ascii="Times New Roman" w:hAnsi="Times New Roman" w:cs="Times New Roman"/>
          <w:sz w:val="24"/>
          <w:szCs w:val="24"/>
        </w:rPr>
        <w:t>, los ratones son literalmente devorados por la culpa.</w:t>
      </w:r>
      <w:r w:rsidRPr="00EB343F">
        <w:rPr>
          <w:rFonts w:ascii="Times New Roman" w:hAnsi="Times New Roman" w:cs="Times New Roman"/>
          <w:i/>
          <w:sz w:val="24"/>
          <w:szCs w:val="24"/>
        </w:rPr>
        <w:t xml:space="preserve"> </w:t>
      </w:r>
      <w:r w:rsidRPr="00EB343F">
        <w:rPr>
          <w:rFonts w:ascii="Times New Roman" w:hAnsi="Times New Roman" w:cs="Times New Roman"/>
          <w:sz w:val="24"/>
          <w:szCs w:val="24"/>
        </w:rPr>
        <w:t xml:space="preserve">Recordemos que, en esa genealogía del concepto que lleva adelante, Nietzsche habla del </w:t>
      </w:r>
      <w:r w:rsidRPr="00EB343F">
        <w:rPr>
          <w:rFonts w:ascii="Times New Roman" w:hAnsi="Times New Roman" w:cs="Times New Roman"/>
          <w:i/>
          <w:sz w:val="24"/>
          <w:szCs w:val="24"/>
        </w:rPr>
        <w:t>roer</w:t>
      </w:r>
      <w:r w:rsidRPr="00EB343F">
        <w:rPr>
          <w:rFonts w:ascii="Times New Roman" w:hAnsi="Times New Roman" w:cs="Times New Roman"/>
          <w:sz w:val="24"/>
          <w:szCs w:val="24"/>
        </w:rPr>
        <w:t xml:space="preserve"> con el que el hombre, inhibido en su agresión hacia enemigos exteriores, se volvió contra sí mismo. </w:t>
      </w:r>
    </w:p>
    <w:p w:rsidR="003C02D9" w:rsidRPr="00EB343F" w:rsidRDefault="003C02D9" w:rsidP="00755535">
      <w:pPr>
        <w:spacing w:after="0" w:line="360" w:lineRule="auto"/>
        <w:ind w:firstLine="709"/>
        <w:jc w:val="both"/>
        <w:rPr>
          <w:rFonts w:ascii="Times New Roman" w:hAnsi="Times New Roman" w:cs="Times New Roman"/>
          <w:sz w:val="24"/>
          <w:szCs w:val="24"/>
        </w:rPr>
      </w:pPr>
      <w:r w:rsidRPr="00EB343F">
        <w:rPr>
          <w:rFonts w:ascii="Times New Roman" w:hAnsi="Times New Roman" w:cs="Times New Roman"/>
          <w:sz w:val="24"/>
          <w:szCs w:val="24"/>
        </w:rPr>
        <w:t xml:space="preserve">Como los ratones de este cuento, en la mayor parte de </w:t>
      </w:r>
      <w:r w:rsidRPr="00EB343F">
        <w:rPr>
          <w:rFonts w:ascii="Times New Roman" w:hAnsi="Times New Roman" w:cs="Times New Roman"/>
          <w:i/>
          <w:sz w:val="24"/>
          <w:szCs w:val="24"/>
        </w:rPr>
        <w:t xml:space="preserve">Mundo animal </w:t>
      </w:r>
      <w:r w:rsidRPr="00EB343F">
        <w:rPr>
          <w:rFonts w:ascii="Times New Roman" w:hAnsi="Times New Roman" w:cs="Times New Roman"/>
          <w:sz w:val="24"/>
          <w:szCs w:val="24"/>
        </w:rPr>
        <w:t xml:space="preserve">pululan los múltiples que </w:t>
      </w:r>
      <w:r w:rsidRPr="00EB343F">
        <w:rPr>
          <w:rFonts w:ascii="Times New Roman" w:hAnsi="Times New Roman" w:cs="Times New Roman"/>
          <w:i/>
          <w:sz w:val="24"/>
          <w:szCs w:val="24"/>
        </w:rPr>
        <w:t>corroen</w:t>
      </w:r>
      <w:r w:rsidRPr="00EB343F">
        <w:rPr>
          <w:rFonts w:ascii="Times New Roman" w:hAnsi="Times New Roman" w:cs="Times New Roman"/>
          <w:sz w:val="24"/>
          <w:szCs w:val="24"/>
        </w:rPr>
        <w:t xml:space="preserve">: roedores, polillas, hormigas carnívoras. Pero también los hay individuales: es el caso del pericote de “Amigo enemigo”. El título es de por sí sugestivo. El protagonista es un hombre pobre que arrastra de pensión en pensión una serie de libros inútiles que pertenecían a su padre. Éste se suicidó cuando el narrador tenía diecinueve años, lo que le provocó una mudez de la que no se ha curado. En la pieza de pensión, un pericote, introducido furtivamente, empieza a alimentarse de los libros. Para evitar su destrucción, el narrador le da de comer migas de pan. </w:t>
      </w:r>
    </w:p>
    <w:p w:rsidR="003C02D9" w:rsidRPr="00EB343F" w:rsidRDefault="003C02D9" w:rsidP="00755535">
      <w:pPr>
        <w:spacing w:after="0" w:line="360" w:lineRule="auto"/>
        <w:ind w:firstLine="709"/>
        <w:jc w:val="both"/>
        <w:rPr>
          <w:rFonts w:ascii="Times New Roman" w:hAnsi="Times New Roman" w:cs="Times New Roman"/>
          <w:sz w:val="24"/>
          <w:szCs w:val="24"/>
        </w:rPr>
      </w:pPr>
      <w:r w:rsidRPr="00EB343F">
        <w:rPr>
          <w:rFonts w:ascii="Times New Roman" w:hAnsi="Times New Roman" w:cs="Times New Roman"/>
          <w:sz w:val="24"/>
          <w:szCs w:val="24"/>
        </w:rPr>
        <w:t xml:space="preserve">Apenas aparecido el “visitante” (la lógica de la visitación, contra la lógica de la invitación, amenaza el lugar propio), el narrador, durante una cena, imagina que el pericote hace pareja con una hembra y tienen crías. Después, le dice a la dueña que el alimento es para su hijo. El pericote es, por lo tanto, un “amigo”, es decir, algo conocido, </w:t>
      </w:r>
      <w:r w:rsidRPr="00EB343F">
        <w:rPr>
          <w:rFonts w:ascii="Times New Roman" w:hAnsi="Times New Roman" w:cs="Times New Roman"/>
          <w:sz w:val="24"/>
          <w:szCs w:val="24"/>
        </w:rPr>
        <w:lastRenderedPageBreak/>
        <w:t xml:space="preserve">un semejante, </w:t>
      </w:r>
      <w:r w:rsidRPr="00EB343F">
        <w:rPr>
          <w:rFonts w:ascii="Times New Roman" w:hAnsi="Times New Roman" w:cs="Times New Roman"/>
          <w:i/>
          <w:sz w:val="24"/>
          <w:szCs w:val="24"/>
        </w:rPr>
        <w:t>alguien</w:t>
      </w:r>
      <w:r w:rsidRPr="00EB343F">
        <w:rPr>
          <w:rFonts w:ascii="Times New Roman" w:hAnsi="Times New Roman" w:cs="Times New Roman"/>
          <w:sz w:val="24"/>
          <w:szCs w:val="24"/>
        </w:rPr>
        <w:t xml:space="preserve"> que se puede aproximar, tal vez incluso domesticar. El protagonista no lo expulsa de la habitación, aun cuando le roe los libros: por el contrario, se preocupa por alimentarlo. Es un animal </w:t>
      </w:r>
      <w:r w:rsidRPr="00EB343F">
        <w:rPr>
          <w:rFonts w:ascii="Times New Roman" w:hAnsi="Times New Roman" w:cs="Times New Roman"/>
          <w:i/>
          <w:sz w:val="24"/>
          <w:szCs w:val="24"/>
        </w:rPr>
        <w:t>edipizable</w:t>
      </w:r>
      <w:r w:rsidRPr="00EB343F">
        <w:rPr>
          <w:rFonts w:ascii="Times New Roman" w:hAnsi="Times New Roman" w:cs="Times New Roman"/>
          <w:sz w:val="24"/>
          <w:szCs w:val="24"/>
        </w:rPr>
        <w:t xml:space="preserve">: ora el roedor parece atenuar la soledad y el desamparo y se asimila simbólicamente al padre, ora se vuelve a su vez sujeto de amparo y se asimila como hijo. En suma, es un </w:t>
      </w:r>
      <w:r w:rsidRPr="00EB343F">
        <w:rPr>
          <w:rFonts w:ascii="Times New Roman" w:hAnsi="Times New Roman" w:cs="Times New Roman"/>
          <w:i/>
          <w:sz w:val="24"/>
          <w:szCs w:val="24"/>
        </w:rPr>
        <w:t>huésped</w:t>
      </w:r>
      <w:r w:rsidRPr="00EB343F">
        <w:rPr>
          <w:rFonts w:ascii="Times New Roman" w:hAnsi="Times New Roman" w:cs="Times New Roman"/>
          <w:sz w:val="24"/>
          <w:szCs w:val="24"/>
        </w:rPr>
        <w:t xml:space="preserve"> o, mejor, un </w:t>
      </w:r>
      <w:r w:rsidRPr="00EB343F">
        <w:rPr>
          <w:rFonts w:ascii="Times New Roman" w:hAnsi="Times New Roman" w:cs="Times New Roman"/>
          <w:i/>
          <w:sz w:val="24"/>
          <w:szCs w:val="24"/>
        </w:rPr>
        <w:t>hospes</w:t>
      </w:r>
      <w:r w:rsidRPr="00EB343F">
        <w:rPr>
          <w:rFonts w:ascii="Times New Roman" w:hAnsi="Times New Roman" w:cs="Times New Roman"/>
          <w:sz w:val="24"/>
          <w:szCs w:val="24"/>
        </w:rPr>
        <w:t>, es decir, un extranjero/extraño que disfruta de la hospitalidad del dueño de casa</w:t>
      </w:r>
      <w:r w:rsidR="00372C0C" w:rsidRPr="00EB343F">
        <w:rPr>
          <w:rFonts w:ascii="Times New Roman" w:hAnsi="Times New Roman" w:cs="Times New Roman"/>
          <w:sz w:val="24"/>
          <w:szCs w:val="24"/>
        </w:rPr>
        <w:t xml:space="preserve"> (Penchaszadeh,</w:t>
      </w:r>
      <w:r w:rsidR="00372C0C" w:rsidRPr="00EB343F">
        <w:rPr>
          <w:rStyle w:val="Refdenotaalpie"/>
          <w:rFonts w:ascii="Times New Roman" w:hAnsi="Times New Roman" w:cs="Times New Roman"/>
          <w:sz w:val="24"/>
          <w:szCs w:val="24"/>
          <w:vertAlign w:val="baseline"/>
        </w:rPr>
        <w:t xml:space="preserve"> </w:t>
      </w:r>
      <w:r w:rsidR="00372C0C" w:rsidRPr="00EB343F">
        <w:rPr>
          <w:rFonts w:ascii="Times New Roman" w:hAnsi="Times New Roman" w:cs="Times New Roman"/>
          <w:sz w:val="24"/>
          <w:szCs w:val="24"/>
        </w:rPr>
        <w:t>2011)</w:t>
      </w:r>
      <w:r w:rsidRPr="00EB343F">
        <w:rPr>
          <w:rFonts w:ascii="Times New Roman" w:hAnsi="Times New Roman" w:cs="Times New Roman"/>
          <w:sz w:val="24"/>
          <w:szCs w:val="24"/>
        </w:rPr>
        <w:t>.</w:t>
      </w:r>
    </w:p>
    <w:p w:rsidR="003C02D9" w:rsidRPr="00EB343F" w:rsidRDefault="003C02D9" w:rsidP="00755535">
      <w:pPr>
        <w:spacing w:after="0" w:line="360" w:lineRule="auto"/>
        <w:ind w:firstLine="709"/>
        <w:jc w:val="both"/>
        <w:rPr>
          <w:rFonts w:ascii="Times New Roman" w:hAnsi="Times New Roman" w:cs="Times New Roman"/>
          <w:sz w:val="24"/>
          <w:szCs w:val="24"/>
        </w:rPr>
      </w:pPr>
      <w:r w:rsidRPr="00EB343F">
        <w:rPr>
          <w:rFonts w:ascii="Times New Roman" w:hAnsi="Times New Roman" w:cs="Times New Roman"/>
          <w:sz w:val="24"/>
          <w:szCs w:val="24"/>
        </w:rPr>
        <w:t xml:space="preserve">La segunda parte </w:t>
      </w:r>
      <w:r w:rsidR="00992F37" w:rsidRPr="00EB343F">
        <w:rPr>
          <w:rFonts w:ascii="Times New Roman" w:hAnsi="Times New Roman" w:cs="Times New Roman"/>
          <w:sz w:val="24"/>
          <w:szCs w:val="24"/>
        </w:rPr>
        <w:t>da</w:t>
      </w:r>
      <w:r w:rsidRPr="00EB343F">
        <w:rPr>
          <w:rFonts w:ascii="Times New Roman" w:hAnsi="Times New Roman" w:cs="Times New Roman"/>
          <w:sz w:val="24"/>
          <w:szCs w:val="24"/>
        </w:rPr>
        <w:t xml:space="preserve"> un giro abrupto, ir</w:t>
      </w:r>
      <w:r w:rsidR="00992F37" w:rsidRPr="00EB343F">
        <w:rPr>
          <w:rFonts w:ascii="Times New Roman" w:hAnsi="Times New Roman" w:cs="Times New Roman"/>
          <w:sz w:val="24"/>
          <w:szCs w:val="24"/>
        </w:rPr>
        <w:t>rupción que figura el cambio del</w:t>
      </w:r>
      <w:r w:rsidRPr="00EB343F">
        <w:rPr>
          <w:rFonts w:ascii="Times New Roman" w:hAnsi="Times New Roman" w:cs="Times New Roman"/>
          <w:sz w:val="24"/>
          <w:szCs w:val="24"/>
        </w:rPr>
        <w:t xml:space="preserve"> “amigo” al “enemigo”. El narrador olvidó al pericote, ocupado en escribir una carta de respuesta a su hermana, de la que no sabía nada hacía años. En ese preciso momento “asomó y sacó la cabeza gorda de bestia cebada, […] puso afuera –engendro asqueroso–  medio cuerpo desmesurado y dos patitas todavía minúsculas” (47-48). El animal-amigo (edípico) se transformó, de repente, en “un monstruo” (48). Ante el espanto y el asco (el roedor ha crecido desmesuradamente cebado por el papel y la miga), sintiéndose amenazado, el protagonista le clava en el lomo la lapicera con la que escribía y ante el espectáculo de la sangre se desvanece, no sin antes sentir que le vuelve un aliento como de habla, pero que describe como una “música al paso por una flauta” (48). </w:t>
      </w:r>
    </w:p>
    <w:p w:rsidR="003C02D9" w:rsidRPr="00EB343F" w:rsidRDefault="003C02D9" w:rsidP="00755535">
      <w:pPr>
        <w:spacing w:after="0" w:line="360" w:lineRule="auto"/>
        <w:ind w:firstLine="709"/>
        <w:jc w:val="both"/>
        <w:rPr>
          <w:rFonts w:ascii="Times New Roman" w:hAnsi="Times New Roman" w:cs="Times New Roman"/>
          <w:sz w:val="24"/>
          <w:szCs w:val="24"/>
        </w:rPr>
      </w:pPr>
      <w:r w:rsidRPr="00EB343F">
        <w:rPr>
          <w:rFonts w:ascii="Times New Roman" w:hAnsi="Times New Roman" w:cs="Times New Roman"/>
          <w:sz w:val="24"/>
          <w:szCs w:val="24"/>
        </w:rPr>
        <w:t xml:space="preserve">Cuando la dueña pregunta al protagonista por el nombre del hijo, contesta que se llama Guerra. Cuando se le pregunta por la edad, dice: “Tiene los años de la humanidad y todavía más” (47). </w:t>
      </w:r>
      <w:r w:rsidR="0048735F" w:rsidRPr="00EB343F">
        <w:rPr>
          <w:rFonts w:ascii="Times New Roman" w:hAnsi="Times New Roman" w:cs="Times New Roman"/>
          <w:sz w:val="24"/>
          <w:szCs w:val="24"/>
        </w:rPr>
        <w:t>La alegoría es cristalina</w:t>
      </w:r>
      <w:r w:rsidRPr="00EB343F">
        <w:rPr>
          <w:rFonts w:ascii="Times New Roman" w:hAnsi="Times New Roman" w:cs="Times New Roman"/>
          <w:sz w:val="24"/>
          <w:szCs w:val="24"/>
        </w:rPr>
        <w:t xml:space="preserve">: la Guerra es un monstruo que se alimenta de los “sentimientos reactivos” del ser humano. Este hombre desahuciado, empobrecido, traumado, es el que le da de comer a la hostilidad y enemistad que desembocan en la guerra. El desastre personal es un reflejo del desastre colectivo. </w:t>
      </w:r>
    </w:p>
    <w:p w:rsidR="003C02D9" w:rsidRPr="00EB343F" w:rsidRDefault="00980401" w:rsidP="00755535">
      <w:pPr>
        <w:spacing w:after="0" w:line="360" w:lineRule="auto"/>
        <w:ind w:firstLine="709"/>
        <w:jc w:val="both"/>
        <w:rPr>
          <w:rFonts w:ascii="Times New Roman" w:hAnsi="Times New Roman" w:cs="Times New Roman"/>
          <w:sz w:val="24"/>
          <w:szCs w:val="24"/>
        </w:rPr>
      </w:pPr>
      <w:r w:rsidRPr="00EB343F">
        <w:rPr>
          <w:rFonts w:ascii="Times New Roman" w:hAnsi="Times New Roman" w:cs="Times New Roman"/>
          <w:sz w:val="24"/>
          <w:szCs w:val="24"/>
        </w:rPr>
        <w:t>Pero si se sigue el desmontaje de la metáfora, puede conjeturarse</w:t>
      </w:r>
      <w:r w:rsidR="003C02D9" w:rsidRPr="00EB343F">
        <w:rPr>
          <w:rFonts w:ascii="Times New Roman" w:hAnsi="Times New Roman" w:cs="Times New Roman"/>
          <w:sz w:val="24"/>
          <w:szCs w:val="24"/>
        </w:rPr>
        <w:t xml:space="preserve"> que las dos partes del cuento, y tal cual lo anticipa el título, funcionan como heterogéneos, como suplementarios, </w:t>
      </w:r>
      <w:r w:rsidRPr="00EB343F">
        <w:rPr>
          <w:rFonts w:ascii="Times New Roman" w:hAnsi="Times New Roman" w:cs="Times New Roman"/>
          <w:sz w:val="24"/>
          <w:szCs w:val="24"/>
        </w:rPr>
        <w:t>y que los yuxtapone una disrupción</w:t>
      </w:r>
      <w:r w:rsidR="003C02D9" w:rsidRPr="00EB343F">
        <w:rPr>
          <w:rFonts w:ascii="Times New Roman" w:hAnsi="Times New Roman" w:cs="Times New Roman"/>
          <w:sz w:val="24"/>
          <w:szCs w:val="24"/>
        </w:rPr>
        <w:t>. El pericote es lo extraño/extranjero que se introduce en lo propio/hogareño, recibiendo la hospitalidad del amo: no es el prójimo, sino el lejano, el venidero (Nietzsche</w:t>
      </w:r>
      <w:r w:rsidR="00F12D7C" w:rsidRPr="00EB343F">
        <w:rPr>
          <w:rFonts w:ascii="Times New Roman" w:hAnsi="Times New Roman" w:cs="Times New Roman"/>
          <w:sz w:val="24"/>
          <w:szCs w:val="24"/>
        </w:rPr>
        <w:t xml:space="preserve">, 1981: </w:t>
      </w:r>
      <w:r w:rsidR="003C02D9" w:rsidRPr="00EB343F">
        <w:rPr>
          <w:rFonts w:ascii="Times New Roman" w:hAnsi="Times New Roman" w:cs="Times New Roman"/>
          <w:sz w:val="24"/>
          <w:szCs w:val="24"/>
        </w:rPr>
        <w:t xml:space="preserve">100-101). </w:t>
      </w:r>
      <w:r w:rsidR="0048735F" w:rsidRPr="00EB343F">
        <w:rPr>
          <w:rFonts w:ascii="Times New Roman" w:hAnsi="Times New Roman" w:cs="Times New Roman"/>
          <w:sz w:val="24"/>
          <w:szCs w:val="24"/>
        </w:rPr>
        <w:t>La</w:t>
      </w:r>
      <w:r w:rsidR="003C02D9" w:rsidRPr="00EB343F">
        <w:rPr>
          <w:rFonts w:ascii="Times New Roman" w:hAnsi="Times New Roman" w:cs="Times New Roman"/>
          <w:sz w:val="24"/>
          <w:szCs w:val="24"/>
        </w:rPr>
        <w:t xml:space="preserve"> transformación del pericote en bestia se produce cuando el narrador deja de sentirse solo a causa de la carta: basta que reciba una señal de familiaridad del exterior y aquello que había sido acogido como un </w:t>
      </w:r>
      <w:r w:rsidR="003C02D9" w:rsidRPr="00EB343F">
        <w:rPr>
          <w:rFonts w:ascii="Times New Roman" w:hAnsi="Times New Roman" w:cs="Times New Roman"/>
          <w:i/>
          <w:sz w:val="24"/>
          <w:szCs w:val="24"/>
        </w:rPr>
        <w:t>alguien</w:t>
      </w:r>
      <w:r w:rsidR="003C02D9" w:rsidRPr="00EB343F">
        <w:rPr>
          <w:rFonts w:ascii="Times New Roman" w:hAnsi="Times New Roman" w:cs="Times New Roman"/>
          <w:sz w:val="24"/>
          <w:szCs w:val="24"/>
        </w:rPr>
        <w:t xml:space="preserve">, se presenta como lo </w:t>
      </w:r>
      <w:r w:rsidR="003C02D9" w:rsidRPr="00EB343F">
        <w:rPr>
          <w:rFonts w:ascii="Times New Roman" w:hAnsi="Times New Roman" w:cs="Times New Roman"/>
          <w:i/>
          <w:sz w:val="24"/>
          <w:szCs w:val="24"/>
        </w:rPr>
        <w:t>unheimlich</w:t>
      </w:r>
      <w:r w:rsidR="003C02D9" w:rsidRPr="00EB343F">
        <w:rPr>
          <w:rFonts w:ascii="Times New Roman" w:hAnsi="Times New Roman" w:cs="Times New Roman"/>
          <w:sz w:val="24"/>
          <w:szCs w:val="24"/>
        </w:rPr>
        <w:t xml:space="preserve">, lo amenazante, lo </w:t>
      </w:r>
      <w:r w:rsidR="003C02D9" w:rsidRPr="00EB343F">
        <w:rPr>
          <w:rFonts w:ascii="Times New Roman" w:hAnsi="Times New Roman" w:cs="Times New Roman"/>
          <w:i/>
          <w:sz w:val="24"/>
          <w:szCs w:val="24"/>
        </w:rPr>
        <w:t>hostil</w:t>
      </w:r>
      <w:r w:rsidR="003C02D9" w:rsidRPr="00EB343F">
        <w:rPr>
          <w:rFonts w:ascii="Times New Roman" w:hAnsi="Times New Roman" w:cs="Times New Roman"/>
          <w:sz w:val="24"/>
          <w:szCs w:val="24"/>
        </w:rPr>
        <w:t xml:space="preserve"> (es decir, como </w:t>
      </w:r>
      <w:r w:rsidR="003C02D9" w:rsidRPr="00EB343F">
        <w:rPr>
          <w:rFonts w:ascii="Times New Roman" w:hAnsi="Times New Roman" w:cs="Times New Roman"/>
          <w:i/>
          <w:sz w:val="24"/>
          <w:szCs w:val="24"/>
        </w:rPr>
        <w:t>hostis</w:t>
      </w:r>
      <w:r w:rsidR="003C02D9" w:rsidRPr="00EB343F">
        <w:rPr>
          <w:rFonts w:ascii="Times New Roman" w:hAnsi="Times New Roman" w:cs="Times New Roman"/>
          <w:sz w:val="24"/>
          <w:szCs w:val="24"/>
        </w:rPr>
        <w:t xml:space="preserve"> [Penchaszadeh</w:t>
      </w:r>
      <w:r w:rsidR="00F12D7C" w:rsidRPr="00EB343F">
        <w:rPr>
          <w:rFonts w:ascii="Times New Roman" w:hAnsi="Times New Roman" w:cs="Times New Roman"/>
          <w:sz w:val="24"/>
          <w:szCs w:val="24"/>
        </w:rPr>
        <w:t>,</w:t>
      </w:r>
      <w:r w:rsidR="003C02D9" w:rsidRPr="00EB343F">
        <w:rPr>
          <w:rStyle w:val="Refdenotaalpie"/>
          <w:rFonts w:ascii="Times New Roman" w:hAnsi="Times New Roman" w:cs="Times New Roman"/>
          <w:sz w:val="24"/>
          <w:szCs w:val="24"/>
          <w:vertAlign w:val="baseline"/>
        </w:rPr>
        <w:t xml:space="preserve"> </w:t>
      </w:r>
      <w:r w:rsidR="00F12D7C" w:rsidRPr="00EB343F">
        <w:rPr>
          <w:rFonts w:ascii="Times New Roman" w:hAnsi="Times New Roman" w:cs="Times New Roman"/>
          <w:sz w:val="24"/>
          <w:szCs w:val="24"/>
        </w:rPr>
        <w:t>2011:</w:t>
      </w:r>
      <w:r w:rsidR="003C02D9" w:rsidRPr="00EB343F">
        <w:rPr>
          <w:rFonts w:ascii="Times New Roman" w:hAnsi="Times New Roman" w:cs="Times New Roman"/>
          <w:sz w:val="24"/>
          <w:szCs w:val="24"/>
        </w:rPr>
        <w:t xml:space="preserve"> 263]). </w:t>
      </w:r>
    </w:p>
    <w:p w:rsidR="000105D2" w:rsidRPr="00EB343F" w:rsidRDefault="00D25B73" w:rsidP="00755535">
      <w:pPr>
        <w:spacing w:after="0" w:line="360" w:lineRule="auto"/>
        <w:ind w:firstLine="709"/>
        <w:jc w:val="both"/>
        <w:rPr>
          <w:rFonts w:ascii="Times New Roman" w:hAnsi="Times New Roman" w:cs="Times New Roman"/>
          <w:sz w:val="24"/>
          <w:szCs w:val="24"/>
        </w:rPr>
      </w:pPr>
      <w:r w:rsidRPr="00EB343F">
        <w:rPr>
          <w:rFonts w:ascii="Times New Roman" w:hAnsi="Times New Roman" w:cs="Times New Roman"/>
          <w:sz w:val="24"/>
          <w:szCs w:val="24"/>
        </w:rPr>
        <w:t>El narrador imagina en la primera parte a su pericote como engendrador de un múltiple</w:t>
      </w:r>
      <w:r w:rsidR="003C02D9" w:rsidRPr="00EB343F">
        <w:rPr>
          <w:rFonts w:ascii="Times New Roman" w:hAnsi="Times New Roman" w:cs="Times New Roman"/>
          <w:sz w:val="24"/>
          <w:szCs w:val="24"/>
        </w:rPr>
        <w:t xml:space="preserve">: “desde mi pieza podría lanzar sobre la pensión, sobre toda la ciudad, una plaga </w:t>
      </w:r>
      <w:r w:rsidR="003C02D9" w:rsidRPr="00EB343F">
        <w:rPr>
          <w:rFonts w:ascii="Times New Roman" w:hAnsi="Times New Roman" w:cs="Times New Roman"/>
          <w:sz w:val="24"/>
          <w:szCs w:val="24"/>
        </w:rPr>
        <w:lastRenderedPageBreak/>
        <w:t xml:space="preserve">de pericotes. Pero yo no quería hacer mal a nadie. Pensaba nomás” (46). Como en el cuento anterior, aquí </w:t>
      </w:r>
      <w:r w:rsidR="003C02D9" w:rsidRPr="00EB343F">
        <w:rPr>
          <w:rFonts w:ascii="Times New Roman" w:hAnsi="Times New Roman" w:cs="Times New Roman"/>
          <w:i/>
          <w:sz w:val="24"/>
          <w:szCs w:val="24"/>
        </w:rPr>
        <w:t>lo que corroe</w:t>
      </w:r>
      <w:r w:rsidR="003C02D9" w:rsidRPr="00EB343F">
        <w:rPr>
          <w:rFonts w:ascii="Times New Roman" w:hAnsi="Times New Roman" w:cs="Times New Roman"/>
          <w:sz w:val="24"/>
          <w:szCs w:val="24"/>
        </w:rPr>
        <w:t xml:space="preserve"> (las noches en vela que el personaje pasa, en soledad, escuchando el roer de ese amigo-enemigo, ese otro amado-odiado, próximo-lejano), lo que roe desde lo más profundo de su interioridad (la caja de los libros del padre), </w:t>
      </w:r>
      <w:r w:rsidR="003C02D9" w:rsidRPr="00EB343F">
        <w:rPr>
          <w:rFonts w:ascii="Times New Roman" w:hAnsi="Times New Roman" w:cs="Times New Roman"/>
          <w:i/>
          <w:sz w:val="24"/>
          <w:szCs w:val="24"/>
        </w:rPr>
        <w:t>lucha por descargarse en el exterior</w:t>
      </w:r>
      <w:r w:rsidR="003C02D9" w:rsidRPr="00EB343F">
        <w:rPr>
          <w:rFonts w:ascii="Times New Roman" w:hAnsi="Times New Roman" w:cs="Times New Roman"/>
          <w:sz w:val="24"/>
          <w:szCs w:val="24"/>
        </w:rPr>
        <w:t xml:space="preserve">: la pensión, la ciudad, el mundo. No obstante, esa posibilidad queda como mera fantasía. Lo que no se exterioriza como agresividad, se vuelve inquietante y extraño </w:t>
      </w:r>
      <w:r w:rsidR="003C02D9" w:rsidRPr="00EB343F">
        <w:rPr>
          <w:rFonts w:ascii="Times New Roman" w:hAnsi="Times New Roman" w:cs="Times New Roman"/>
          <w:i/>
          <w:sz w:val="24"/>
          <w:szCs w:val="24"/>
        </w:rPr>
        <w:t>dentro del propio hogar</w:t>
      </w:r>
      <w:r w:rsidR="003C02D9" w:rsidRPr="00EB343F">
        <w:rPr>
          <w:rFonts w:ascii="Times New Roman" w:hAnsi="Times New Roman" w:cs="Times New Roman"/>
          <w:sz w:val="24"/>
          <w:szCs w:val="24"/>
        </w:rPr>
        <w:t xml:space="preserve">. Mejor aún: lo que aparece como </w:t>
      </w:r>
      <w:r w:rsidR="003C02D9" w:rsidRPr="00EB343F">
        <w:rPr>
          <w:rFonts w:ascii="Times New Roman" w:hAnsi="Times New Roman" w:cs="Times New Roman"/>
          <w:i/>
          <w:sz w:val="24"/>
          <w:szCs w:val="24"/>
        </w:rPr>
        <w:t xml:space="preserve">huésped </w:t>
      </w:r>
      <w:r w:rsidR="003C02D9" w:rsidRPr="00EB343F">
        <w:rPr>
          <w:rFonts w:ascii="Times New Roman" w:hAnsi="Times New Roman" w:cs="Times New Roman"/>
          <w:sz w:val="24"/>
          <w:szCs w:val="24"/>
        </w:rPr>
        <w:t xml:space="preserve">que se reconoce como alter-ego es ya extraño. Aun cuando el narrador otorgue hospitalidad al amigo, lo incalculable, lo otro, lo lejano, lo venidero, ya se han introducido en el orden de lo familiar. </w:t>
      </w:r>
      <w:r w:rsidRPr="00EB343F">
        <w:rPr>
          <w:rFonts w:ascii="Times New Roman" w:hAnsi="Times New Roman" w:cs="Times New Roman"/>
          <w:sz w:val="24"/>
          <w:szCs w:val="24"/>
        </w:rPr>
        <w:t>E</w:t>
      </w:r>
      <w:r w:rsidR="003C02D9" w:rsidRPr="00EB343F">
        <w:rPr>
          <w:rFonts w:ascii="Times New Roman" w:hAnsi="Times New Roman" w:cs="Times New Roman"/>
          <w:sz w:val="24"/>
          <w:szCs w:val="24"/>
        </w:rPr>
        <w:t xml:space="preserve">l monstruo </w:t>
      </w:r>
      <w:r w:rsidR="003C02D9" w:rsidRPr="00EB343F">
        <w:rPr>
          <w:rFonts w:ascii="Times New Roman" w:hAnsi="Times New Roman" w:cs="Times New Roman"/>
          <w:i/>
          <w:sz w:val="24"/>
          <w:szCs w:val="24"/>
        </w:rPr>
        <w:t>interpela</w:t>
      </w:r>
      <w:r w:rsidR="003C02D9" w:rsidRPr="00EB343F">
        <w:rPr>
          <w:rFonts w:ascii="Times New Roman" w:hAnsi="Times New Roman" w:cs="Times New Roman"/>
          <w:sz w:val="24"/>
          <w:szCs w:val="24"/>
        </w:rPr>
        <w:t xml:space="preserve"> al protagonista, pero esta llamada es desoída (la sordera a la llamada del otro es como un correlato de la mudez): “Era un monstruo repelente y feo que me miraba como en reclamación” (48). A este llamado del otro, a esta interpelación de la otredad, </w:t>
      </w:r>
      <w:r w:rsidR="0005013C" w:rsidRPr="00EB343F">
        <w:rPr>
          <w:rFonts w:ascii="Times New Roman" w:hAnsi="Times New Roman" w:cs="Times New Roman"/>
          <w:sz w:val="24"/>
          <w:szCs w:val="24"/>
        </w:rPr>
        <w:t>no se responde</w:t>
      </w:r>
      <w:r w:rsidR="003C02D9" w:rsidRPr="00EB343F">
        <w:rPr>
          <w:rFonts w:ascii="Times New Roman" w:hAnsi="Times New Roman" w:cs="Times New Roman"/>
          <w:sz w:val="24"/>
          <w:szCs w:val="24"/>
        </w:rPr>
        <w:t xml:space="preserve">, pero esa alteridad precede toda mismidad. </w:t>
      </w:r>
    </w:p>
    <w:p w:rsidR="003C02D9" w:rsidRPr="00EB343F" w:rsidRDefault="003C02D9" w:rsidP="00755535">
      <w:pPr>
        <w:spacing w:after="0" w:line="360" w:lineRule="auto"/>
        <w:ind w:firstLine="709"/>
        <w:jc w:val="both"/>
        <w:rPr>
          <w:rFonts w:ascii="Times New Roman" w:hAnsi="Times New Roman" w:cs="Times New Roman"/>
          <w:sz w:val="24"/>
          <w:szCs w:val="24"/>
        </w:rPr>
      </w:pPr>
      <w:r w:rsidRPr="00EB343F">
        <w:rPr>
          <w:rFonts w:ascii="Times New Roman" w:hAnsi="Times New Roman" w:cs="Times New Roman"/>
          <w:sz w:val="24"/>
          <w:szCs w:val="24"/>
        </w:rPr>
        <w:t>Para terminar, sin concluir del todo, puesto que dejaremos interrogantes abiertos, vamos a examinar el relato más extraño del volumen, “Sospechas de perfección”. En cierto sentido, jalona todos los hilos que hemos recorrido, pero los retoma en un planteamiento más amplio</w:t>
      </w:r>
      <w:r w:rsidR="0005013C" w:rsidRPr="00EB343F">
        <w:rPr>
          <w:rFonts w:ascii="Times New Roman" w:hAnsi="Times New Roman" w:cs="Times New Roman"/>
          <w:sz w:val="24"/>
          <w:szCs w:val="24"/>
        </w:rPr>
        <w:t xml:space="preserve"> que podríamos llamar </w:t>
      </w:r>
      <w:r w:rsidR="0005013C" w:rsidRPr="00EB343F">
        <w:rPr>
          <w:rFonts w:ascii="Times New Roman" w:hAnsi="Times New Roman" w:cs="Times New Roman"/>
          <w:i/>
          <w:sz w:val="24"/>
          <w:szCs w:val="24"/>
        </w:rPr>
        <w:t>político</w:t>
      </w:r>
      <w:r w:rsidRPr="00EB343F">
        <w:rPr>
          <w:rFonts w:ascii="Times New Roman" w:hAnsi="Times New Roman" w:cs="Times New Roman"/>
          <w:sz w:val="24"/>
          <w:szCs w:val="24"/>
        </w:rPr>
        <w:t xml:space="preserve">. Todos los otros cuentos proponen, de un modo u otro, la cuestión de lo familiar, del hogar o del espacio propio, sea que el cuerpo aloje en su interior, como una casa, esos animales que después se vuelven corrosivos, se exilian, se desplazan, o se convierten en amenazantes (las mariposas, los pájaros, pero también otros cuentos que no hemos abordado: “Bizcocho para polillas”), sea que el espacio propio se presente como </w:t>
      </w:r>
      <w:r w:rsidR="00C533F3" w:rsidRPr="00EB343F">
        <w:rPr>
          <w:rFonts w:ascii="Times New Roman" w:hAnsi="Times New Roman" w:cs="Times New Roman"/>
          <w:sz w:val="24"/>
          <w:szCs w:val="24"/>
        </w:rPr>
        <w:t>hogar</w:t>
      </w:r>
      <w:r w:rsidRPr="00EB343F">
        <w:rPr>
          <w:rFonts w:ascii="Times New Roman" w:hAnsi="Times New Roman" w:cs="Times New Roman"/>
          <w:sz w:val="24"/>
          <w:szCs w:val="24"/>
        </w:rPr>
        <w:t xml:space="preserve"> del protagonista, invadido o amenazado por la visita (el pericote de “Amigo enemigo”, pero también la piara de “La comida de los cerdos” o el gato-leopardo de “Salvada pureza”). “Sospechas de perfección” es el único relato en el que el espacio de lo propio es </w:t>
      </w:r>
      <w:r w:rsidRPr="00EB343F">
        <w:rPr>
          <w:rFonts w:ascii="Times New Roman" w:hAnsi="Times New Roman" w:cs="Times New Roman"/>
          <w:i/>
          <w:sz w:val="24"/>
          <w:szCs w:val="24"/>
        </w:rPr>
        <w:t>estatal</w:t>
      </w:r>
      <w:r w:rsidRPr="00EB343F">
        <w:rPr>
          <w:rFonts w:ascii="Times New Roman" w:hAnsi="Times New Roman" w:cs="Times New Roman"/>
          <w:sz w:val="24"/>
          <w:szCs w:val="24"/>
        </w:rPr>
        <w:t xml:space="preserve">. </w:t>
      </w:r>
    </w:p>
    <w:p w:rsidR="003C02D9" w:rsidRPr="00EB343F" w:rsidRDefault="003C02D9" w:rsidP="00755535">
      <w:pPr>
        <w:spacing w:after="0" w:line="360" w:lineRule="auto"/>
        <w:ind w:firstLine="709"/>
        <w:jc w:val="both"/>
        <w:rPr>
          <w:rFonts w:ascii="Times New Roman" w:hAnsi="Times New Roman" w:cs="Times New Roman"/>
          <w:sz w:val="24"/>
          <w:szCs w:val="24"/>
        </w:rPr>
      </w:pPr>
      <w:r w:rsidRPr="00EB343F">
        <w:rPr>
          <w:rFonts w:ascii="Times New Roman" w:hAnsi="Times New Roman" w:cs="Times New Roman"/>
          <w:sz w:val="24"/>
          <w:szCs w:val="24"/>
        </w:rPr>
        <w:t>Como muchos de los cuentos, también está divido en dos partes, que corresponden a dos “momentos” y a dos “espacios”. El protagonista llega a una comarca desconocida (aunque después se dirá que había nacido ahí: es un extranjero pero también alguien que regresa) con un objetivo comercial: vender libros. Como los habitantes son analfabetos, les enseña a leer (pero no a escribir). Descubierto el ardid, es llevado a juicio y sentenciado si</w:t>
      </w:r>
      <w:r w:rsidR="00545471" w:rsidRPr="00EB343F">
        <w:rPr>
          <w:rFonts w:ascii="Times New Roman" w:hAnsi="Times New Roman" w:cs="Times New Roman"/>
          <w:sz w:val="24"/>
          <w:szCs w:val="24"/>
        </w:rPr>
        <w:t>n</w:t>
      </w:r>
      <w:r w:rsidRPr="00EB343F">
        <w:rPr>
          <w:rFonts w:ascii="Times New Roman" w:hAnsi="Times New Roman" w:cs="Times New Roman"/>
          <w:sz w:val="24"/>
          <w:szCs w:val="24"/>
        </w:rPr>
        <w:t xml:space="preserve"> proceso. La pena: morir descarnado por un enjambre de hormigas carnívoras. </w:t>
      </w:r>
      <w:r w:rsidR="00545471" w:rsidRPr="00EB343F">
        <w:rPr>
          <w:rFonts w:ascii="Times New Roman" w:hAnsi="Times New Roman" w:cs="Times New Roman"/>
          <w:sz w:val="24"/>
          <w:szCs w:val="24"/>
        </w:rPr>
        <w:t>El cometido</w:t>
      </w:r>
      <w:r w:rsidRPr="00EB343F">
        <w:rPr>
          <w:rFonts w:ascii="Times New Roman" w:hAnsi="Times New Roman" w:cs="Times New Roman"/>
          <w:sz w:val="24"/>
          <w:szCs w:val="24"/>
        </w:rPr>
        <w:t xml:space="preserve"> no se cumple porque los insectos no pueden con los huesos y el protagonista sobrevive como esqueleto. Un segundo pelotón, de hormigas voladoras, </w:t>
      </w:r>
      <w:r w:rsidRPr="00EB343F">
        <w:rPr>
          <w:rFonts w:ascii="Times New Roman" w:hAnsi="Times New Roman" w:cs="Times New Roman"/>
          <w:sz w:val="24"/>
          <w:szCs w:val="24"/>
        </w:rPr>
        <w:lastRenderedPageBreak/>
        <w:t>arriba para terminar la ejecución, pero el narrador logra despertarles piedad y lo llevan volando a otro país. Se trata de un lugar paradisíaco en el que el hombre reconstruye sus carnes a la vera de un río de leche (descartando, no sin esfuerzo, vivir cerca de otro río, de vino). Los habitantes son hospitalarios, tanto que el narrador sospecha de su perfección, por lo que decide realizar una serie de atentados para destruir el orden. Es llevado a un nuevo juicio donde, en vez de castigo, se le otorgan recompensas: un lugar para vivir, una esposa, un trabajo. En el momento decisivo, el narrador recuerda la visión horrorosa de uno de los jueces jinetes del país donde fue descarnado. Se le ofrece entonces la posibilidad de una “justiciera revancha” (84) sirviendo de guía explorador del terreno en una hueste guerrera que emprenderá la invasión del otro país.</w:t>
      </w:r>
    </w:p>
    <w:p w:rsidR="003C02D9" w:rsidRPr="00EB343F" w:rsidRDefault="003C02D9" w:rsidP="00755535">
      <w:pPr>
        <w:spacing w:after="0" w:line="360" w:lineRule="auto"/>
        <w:ind w:firstLine="709"/>
        <w:jc w:val="both"/>
        <w:rPr>
          <w:rFonts w:ascii="Times New Roman" w:hAnsi="Times New Roman" w:cs="Times New Roman"/>
          <w:sz w:val="24"/>
          <w:szCs w:val="24"/>
        </w:rPr>
      </w:pPr>
      <w:r w:rsidRPr="00EB343F">
        <w:rPr>
          <w:rFonts w:ascii="Times New Roman" w:hAnsi="Times New Roman" w:cs="Times New Roman"/>
          <w:sz w:val="24"/>
          <w:szCs w:val="24"/>
        </w:rPr>
        <w:t xml:space="preserve">Tenemos entonces la figura del extranjero, más aún, del nómada, el errante, del que retorna, incluso del exiliado. En el primer país, el desconocido, que disfruta de su impunidad por “la tolerancia o el descuido” (78), es llevado a su primer juicio “ante un tribunal de hombres enmascarados y a caballo en bestias cubiertas de gualdrapas” (78). </w:t>
      </w:r>
      <w:r w:rsidR="00545471" w:rsidRPr="00EB343F">
        <w:rPr>
          <w:rFonts w:ascii="Times New Roman" w:hAnsi="Times New Roman" w:cs="Times New Roman"/>
          <w:sz w:val="24"/>
          <w:szCs w:val="24"/>
        </w:rPr>
        <w:t>E</w:t>
      </w:r>
      <w:r w:rsidRPr="00EB343F">
        <w:rPr>
          <w:rFonts w:ascii="Times New Roman" w:hAnsi="Times New Roman" w:cs="Times New Roman"/>
          <w:sz w:val="24"/>
          <w:szCs w:val="24"/>
        </w:rPr>
        <w:t>n est</w:t>
      </w:r>
      <w:r w:rsidR="00545471" w:rsidRPr="00EB343F">
        <w:rPr>
          <w:rFonts w:ascii="Times New Roman" w:hAnsi="Times New Roman" w:cs="Times New Roman"/>
          <w:sz w:val="24"/>
          <w:szCs w:val="24"/>
        </w:rPr>
        <w:t>e relato, los animales aparece</w:t>
      </w:r>
      <w:r w:rsidRPr="00EB343F">
        <w:rPr>
          <w:rFonts w:ascii="Times New Roman" w:hAnsi="Times New Roman" w:cs="Times New Roman"/>
          <w:sz w:val="24"/>
          <w:szCs w:val="24"/>
        </w:rPr>
        <w:t xml:space="preserve">n como fuerzas integradas al orden del derecho, sometidas como instrumento de acción legal y penal. El acusado no puede tener un abogado porque de todas maneras será condenado. Pregunta entonces por qué se lo somete a juicio. “Porque éste es un país amante de la justicia” (78) se le contesta. Este primer país aparece fundado en un derecho (podemos aquí traducir, en términos derridianos, “justica” por “derecho”) que cínicamente declara lo protocolar del proceso penal. El singular ajusticiamiento, incompleto, desemboca en el “hombre descarnado”, nuevo avatar de los señuelos metafóricos, pero también figuras del más acá o más allá de la subjetividad humana: el hombre encogido, el hombre carcomido, el hombre desnudado (“Bizcocho para polillas”). Cuando, ante el segundo pelotón, el protagonista ruega piedad, viendo que las hormigas parecen ceder, arenga: </w:t>
      </w:r>
      <w:r w:rsidR="00EB343F" w:rsidRPr="00EB343F">
        <w:rPr>
          <w:rFonts w:ascii="Times New Roman" w:hAnsi="Times New Roman" w:cs="Times New Roman"/>
          <w:sz w:val="24"/>
          <w:szCs w:val="24"/>
        </w:rPr>
        <w:t>“</w:t>
      </w:r>
      <w:r w:rsidRPr="00EB343F">
        <w:rPr>
          <w:rFonts w:ascii="Times New Roman" w:hAnsi="Times New Roman" w:cs="Times New Roman"/>
          <w:sz w:val="24"/>
          <w:szCs w:val="24"/>
        </w:rPr>
        <w:t>Soy uno de los sostenedores de este Reino de los Hombres (que apenas es algo más que un Mundo Animal). Que se cobren en mí, las bestias, lo que de ellas despreciam</w:t>
      </w:r>
      <w:r w:rsidR="00EB343F" w:rsidRPr="00EB343F">
        <w:rPr>
          <w:rFonts w:ascii="Times New Roman" w:hAnsi="Times New Roman" w:cs="Times New Roman"/>
          <w:sz w:val="24"/>
          <w:szCs w:val="24"/>
        </w:rPr>
        <w:t xml:space="preserve">os, condenamos y tememos… (80)”. </w:t>
      </w:r>
      <w:r w:rsidRPr="00EB343F">
        <w:rPr>
          <w:rFonts w:ascii="Times New Roman" w:hAnsi="Times New Roman" w:cs="Times New Roman"/>
          <w:sz w:val="24"/>
          <w:szCs w:val="24"/>
        </w:rPr>
        <w:t xml:space="preserve">De nuevo la pena como “cobro” de una deuda en forma de daño. Instrumento de acción penal, el pelotón de hormigas está integrado a la maquinaria jurídica del Reino de los Hombres. Pero las hormigas voladoras (el narrador sugiere que esos seres, al tener alas, podrían poseer un sentido de la libertad) devienen instrumento de emancipación y llevan al hombre al exilio. </w:t>
      </w:r>
    </w:p>
    <w:p w:rsidR="003C02D9" w:rsidRPr="00EB343F" w:rsidRDefault="003C02D9" w:rsidP="00755535">
      <w:pPr>
        <w:spacing w:after="0" w:line="360" w:lineRule="auto"/>
        <w:ind w:firstLine="709"/>
        <w:jc w:val="both"/>
        <w:rPr>
          <w:rFonts w:ascii="Times New Roman" w:hAnsi="Times New Roman" w:cs="Times New Roman"/>
          <w:sz w:val="24"/>
          <w:szCs w:val="24"/>
        </w:rPr>
      </w:pPr>
      <w:r w:rsidRPr="00EB343F">
        <w:rPr>
          <w:rFonts w:ascii="Times New Roman" w:hAnsi="Times New Roman" w:cs="Times New Roman"/>
          <w:sz w:val="24"/>
          <w:szCs w:val="24"/>
        </w:rPr>
        <w:t xml:space="preserve">En el segundo país, la hospitalidad “natural” (ríos de leche y vino) parece ser el espejo claro en el que se refleja la hospitalidad </w:t>
      </w:r>
      <w:r w:rsidRPr="00EB343F">
        <w:rPr>
          <w:rFonts w:ascii="Times New Roman" w:hAnsi="Times New Roman" w:cs="Times New Roman"/>
          <w:i/>
          <w:sz w:val="24"/>
          <w:szCs w:val="24"/>
        </w:rPr>
        <w:t>casi inhumana</w:t>
      </w:r>
      <w:r w:rsidRPr="00EB343F">
        <w:rPr>
          <w:rFonts w:ascii="Times New Roman" w:hAnsi="Times New Roman" w:cs="Times New Roman"/>
          <w:sz w:val="24"/>
          <w:szCs w:val="24"/>
        </w:rPr>
        <w:t xml:space="preserve"> de esta comarca. Lo que </w:t>
      </w:r>
      <w:r w:rsidRPr="00EB343F">
        <w:rPr>
          <w:rFonts w:ascii="Times New Roman" w:hAnsi="Times New Roman" w:cs="Times New Roman"/>
          <w:sz w:val="24"/>
          <w:szCs w:val="24"/>
        </w:rPr>
        <w:lastRenderedPageBreak/>
        <w:t xml:space="preserve">despierta la sospecha del protagonista es justamente esa inhumana perfección. Quizás nos encontramos con la imposible hospitalidad sin condición, el estricto reverso del primer país, en el cual el derecho fundaba una hospitalidad condicionada muy pronto vuelta hostilidad. El extranjero se niega a formar parte de esa armonía. Pone a prueba, por lo tanto, esa Ley de la hospitalidad </w:t>
      </w:r>
      <w:r w:rsidR="00357465" w:rsidRPr="00EB343F">
        <w:rPr>
          <w:rFonts w:ascii="Times New Roman" w:hAnsi="Times New Roman" w:cs="Times New Roman"/>
          <w:sz w:val="24"/>
          <w:szCs w:val="24"/>
        </w:rPr>
        <w:t>incondicional</w:t>
      </w:r>
      <w:r w:rsidRPr="00EB343F">
        <w:rPr>
          <w:rFonts w:ascii="Times New Roman" w:hAnsi="Times New Roman" w:cs="Times New Roman"/>
          <w:sz w:val="24"/>
          <w:szCs w:val="24"/>
        </w:rPr>
        <w:t xml:space="preserve">: comete atentados contra la deidad del país (que es la música: símbolo de la armonía). La alteridad irreductible del extranjero es aquí la deliberada disonancia de quien se niega a formar parte de esa “armonía preestablecida” que implica orden, trabajo, hogar, familia, paz. En efecto, el segundo juicio al que es llevado es el reverso del primero: se le otorgarán los deseos que declare. Quiere casarse con muchas mujeres, pero solo puede hacerlo con una. Quiere dinero para vivir sin trabajar, pero esa opción es rechazada: se lo acusa de holgazán. Se le dice que sin una actividad útil correrá el riesgo de </w:t>
      </w:r>
      <w:r w:rsidRPr="00EB343F">
        <w:rPr>
          <w:rFonts w:ascii="Times New Roman" w:hAnsi="Times New Roman" w:cs="Times New Roman"/>
          <w:i/>
          <w:sz w:val="24"/>
          <w:szCs w:val="24"/>
        </w:rPr>
        <w:t>devorarse a sí mismo</w:t>
      </w:r>
      <w:r w:rsidRPr="00EB343F">
        <w:rPr>
          <w:rFonts w:ascii="Times New Roman" w:hAnsi="Times New Roman" w:cs="Times New Roman"/>
          <w:sz w:val="24"/>
          <w:szCs w:val="24"/>
        </w:rPr>
        <w:t xml:space="preserve"> (84). Estamos en plena aporía de la Ley de la hospitalidad absoluta, que necesita paradójicamente de las leyes si no quiere ser abstracta. Esta hospitalidad imposible se revela como una apariencia en el desenlace, cuando este país </w:t>
      </w:r>
      <w:r w:rsidRPr="00EB343F">
        <w:rPr>
          <w:rFonts w:ascii="Times New Roman" w:hAnsi="Times New Roman" w:cs="Times New Roman"/>
          <w:i/>
          <w:sz w:val="24"/>
          <w:szCs w:val="24"/>
        </w:rPr>
        <w:t>de fábula</w:t>
      </w:r>
      <w:r w:rsidRPr="00EB343F">
        <w:rPr>
          <w:rFonts w:ascii="Times New Roman" w:hAnsi="Times New Roman" w:cs="Times New Roman"/>
          <w:sz w:val="24"/>
          <w:szCs w:val="24"/>
        </w:rPr>
        <w:t xml:space="preserve">, este reino encantado, pone en escena sus intenciones hostiles que fundan ese </w:t>
      </w:r>
      <w:r w:rsidRPr="00EB343F">
        <w:rPr>
          <w:rFonts w:ascii="Times New Roman" w:hAnsi="Times New Roman" w:cs="Times New Roman"/>
          <w:i/>
          <w:sz w:val="24"/>
          <w:szCs w:val="24"/>
        </w:rPr>
        <w:t>nosotros</w:t>
      </w:r>
      <w:r w:rsidRPr="00EB343F">
        <w:rPr>
          <w:rFonts w:ascii="Times New Roman" w:hAnsi="Times New Roman" w:cs="Times New Roman"/>
          <w:sz w:val="24"/>
          <w:szCs w:val="24"/>
        </w:rPr>
        <w:t xml:space="preserve"> respecto de los otros y cuyo cálculo es la guerra, la agresión vuelta hacia el exterior: </w:t>
      </w:r>
      <w:r w:rsidR="00EB343F" w:rsidRPr="00EB343F">
        <w:rPr>
          <w:rFonts w:ascii="Times New Roman" w:hAnsi="Times New Roman" w:cs="Times New Roman"/>
          <w:sz w:val="24"/>
          <w:szCs w:val="24"/>
        </w:rPr>
        <w:t>“</w:t>
      </w:r>
      <w:r w:rsidRPr="00EB343F">
        <w:rPr>
          <w:rFonts w:ascii="Times New Roman" w:hAnsi="Times New Roman" w:cs="Times New Roman"/>
          <w:sz w:val="24"/>
          <w:szCs w:val="24"/>
        </w:rPr>
        <w:t>Volverás al otro país. Nuestras huestes, con tanto amor armadas para las glorias de la victoria, acogerán con gratitud tus conocimientos del adversario y de su suelo, hombre reconstituido</w:t>
      </w:r>
      <w:r w:rsidR="00EB343F" w:rsidRPr="00EB343F">
        <w:rPr>
          <w:rFonts w:ascii="Times New Roman" w:hAnsi="Times New Roman" w:cs="Times New Roman"/>
          <w:sz w:val="24"/>
          <w:szCs w:val="24"/>
        </w:rPr>
        <w:t>”</w:t>
      </w:r>
      <w:r w:rsidRPr="00EB343F">
        <w:rPr>
          <w:rFonts w:ascii="Times New Roman" w:hAnsi="Times New Roman" w:cs="Times New Roman"/>
          <w:sz w:val="24"/>
          <w:szCs w:val="24"/>
        </w:rPr>
        <w:t xml:space="preserve"> (85).</w:t>
      </w:r>
      <w:r w:rsidR="00EB343F" w:rsidRPr="00EB343F">
        <w:rPr>
          <w:rFonts w:ascii="Times New Roman" w:hAnsi="Times New Roman" w:cs="Times New Roman"/>
          <w:sz w:val="24"/>
          <w:szCs w:val="24"/>
        </w:rPr>
        <w:t xml:space="preserve"> </w:t>
      </w:r>
      <w:r w:rsidRPr="00EB343F">
        <w:rPr>
          <w:rFonts w:ascii="Times New Roman" w:hAnsi="Times New Roman" w:cs="Times New Roman"/>
          <w:sz w:val="24"/>
          <w:szCs w:val="24"/>
        </w:rPr>
        <w:t xml:space="preserve">Gratitud y amor para la hostilidad y la victoria sobre el enemigo: contradicciones de la paz interior que se asegura por medio de la agresividad hacia lo que se constituye como exterior, extraño, extranjero. El hombre que, a lo largo de </w:t>
      </w:r>
      <w:r w:rsidRPr="00EB343F">
        <w:rPr>
          <w:rFonts w:ascii="Times New Roman" w:hAnsi="Times New Roman" w:cs="Times New Roman"/>
          <w:i/>
          <w:sz w:val="24"/>
          <w:szCs w:val="24"/>
        </w:rPr>
        <w:t>Mundo animal</w:t>
      </w:r>
      <w:r w:rsidRPr="00EB343F">
        <w:rPr>
          <w:rFonts w:ascii="Times New Roman" w:hAnsi="Times New Roman" w:cs="Times New Roman"/>
          <w:sz w:val="24"/>
          <w:szCs w:val="24"/>
        </w:rPr>
        <w:t xml:space="preserve">, se vuelve encogido, hombrecito, corroído, desmembrado, desfigurado en su semejanza (los ratones de “En rojo de culpa” que destruyen el rostro de Abel), descarnado, se </w:t>
      </w:r>
      <w:r w:rsidRPr="00EB343F">
        <w:rPr>
          <w:rFonts w:ascii="Times New Roman" w:hAnsi="Times New Roman" w:cs="Times New Roman"/>
          <w:i/>
          <w:sz w:val="24"/>
          <w:szCs w:val="24"/>
        </w:rPr>
        <w:t>reconstituye</w:t>
      </w:r>
      <w:r w:rsidRPr="00EB343F">
        <w:rPr>
          <w:rFonts w:ascii="Times New Roman" w:hAnsi="Times New Roman" w:cs="Times New Roman"/>
          <w:sz w:val="24"/>
          <w:szCs w:val="24"/>
        </w:rPr>
        <w:t xml:space="preserve">, se ensambla y se afirma, espartanamente, para la guerra: el individuo ha sido reconstituido para el Estado soberano. </w:t>
      </w:r>
    </w:p>
    <w:p w:rsidR="003C02D9" w:rsidRPr="00EB343F" w:rsidRDefault="003C02D9" w:rsidP="00755535">
      <w:pPr>
        <w:spacing w:after="0" w:line="360" w:lineRule="auto"/>
        <w:ind w:firstLine="709"/>
        <w:jc w:val="both"/>
        <w:rPr>
          <w:rFonts w:ascii="Times New Roman" w:hAnsi="Times New Roman" w:cs="Times New Roman"/>
          <w:sz w:val="24"/>
          <w:szCs w:val="24"/>
        </w:rPr>
      </w:pPr>
    </w:p>
    <w:p w:rsidR="003C02D9" w:rsidRPr="003604A9" w:rsidRDefault="003C02D9" w:rsidP="00755535">
      <w:pPr>
        <w:spacing w:after="0" w:line="360" w:lineRule="auto"/>
        <w:ind w:firstLine="709"/>
        <w:jc w:val="both"/>
        <w:rPr>
          <w:rFonts w:ascii="Times New Roman" w:hAnsi="Times New Roman" w:cs="Times New Roman"/>
          <w:b/>
          <w:sz w:val="20"/>
          <w:szCs w:val="20"/>
        </w:rPr>
      </w:pPr>
      <w:r w:rsidRPr="003604A9">
        <w:rPr>
          <w:rFonts w:ascii="Times New Roman" w:hAnsi="Times New Roman" w:cs="Times New Roman"/>
          <w:b/>
          <w:sz w:val="20"/>
          <w:szCs w:val="20"/>
        </w:rPr>
        <w:t xml:space="preserve">Bibliografía: </w:t>
      </w:r>
    </w:p>
    <w:p w:rsidR="00EB343F" w:rsidRPr="003604A9" w:rsidRDefault="00EB343F" w:rsidP="00755535">
      <w:pPr>
        <w:spacing w:after="0" w:line="360" w:lineRule="auto"/>
        <w:ind w:firstLine="709"/>
        <w:jc w:val="both"/>
        <w:rPr>
          <w:rFonts w:ascii="Times New Roman" w:hAnsi="Times New Roman" w:cs="Times New Roman"/>
          <w:b/>
          <w:sz w:val="20"/>
          <w:szCs w:val="20"/>
        </w:rPr>
      </w:pPr>
    </w:p>
    <w:p w:rsidR="00372C0C" w:rsidRPr="003604A9" w:rsidRDefault="00372C0C" w:rsidP="00755535">
      <w:pPr>
        <w:pStyle w:val="Textonotapie"/>
        <w:spacing w:line="360" w:lineRule="auto"/>
        <w:ind w:firstLine="709"/>
        <w:jc w:val="both"/>
        <w:rPr>
          <w:rFonts w:ascii="Times New Roman" w:hAnsi="Times New Roman" w:cs="Times New Roman"/>
        </w:rPr>
      </w:pPr>
      <w:r w:rsidRPr="003604A9">
        <w:rPr>
          <w:rFonts w:ascii="Times New Roman" w:hAnsi="Times New Roman" w:cs="Times New Roman"/>
        </w:rPr>
        <w:t xml:space="preserve">Derrida, Jacques. </w:t>
      </w:r>
      <w:r w:rsidRPr="003604A9">
        <w:rPr>
          <w:rFonts w:ascii="Times New Roman" w:hAnsi="Times New Roman" w:cs="Times New Roman"/>
          <w:i/>
        </w:rPr>
        <w:t>El animal que luego estoy si(gui)endo</w:t>
      </w:r>
      <w:r w:rsidRPr="003604A9">
        <w:rPr>
          <w:rFonts w:ascii="Times New Roman" w:hAnsi="Times New Roman" w:cs="Times New Roman"/>
        </w:rPr>
        <w:t>. Madrid: Trotta, 2008.</w:t>
      </w:r>
    </w:p>
    <w:p w:rsidR="00372C0C" w:rsidRPr="003604A9" w:rsidRDefault="00372C0C" w:rsidP="00755535">
      <w:pPr>
        <w:pStyle w:val="Textonotapie"/>
        <w:spacing w:line="360" w:lineRule="auto"/>
        <w:ind w:firstLine="709"/>
        <w:jc w:val="both"/>
        <w:rPr>
          <w:rFonts w:ascii="Times New Roman" w:hAnsi="Times New Roman" w:cs="Times New Roman"/>
        </w:rPr>
      </w:pPr>
      <w:r w:rsidRPr="003604A9">
        <w:rPr>
          <w:rFonts w:ascii="Times New Roman" w:hAnsi="Times New Roman" w:cs="Times New Roman"/>
        </w:rPr>
        <w:t xml:space="preserve">Derrida, Jacques. </w:t>
      </w:r>
      <w:r w:rsidRPr="003604A9">
        <w:rPr>
          <w:rFonts w:ascii="Times New Roman" w:hAnsi="Times New Roman" w:cs="Times New Roman"/>
          <w:i/>
        </w:rPr>
        <w:t>Seminario La bestia y el soberano. Volumen I (2001-2002)</w:t>
      </w:r>
      <w:r w:rsidRPr="003604A9">
        <w:rPr>
          <w:rFonts w:ascii="Times New Roman" w:hAnsi="Times New Roman" w:cs="Times New Roman"/>
        </w:rPr>
        <w:t>. Buenos Aires: Manantial, 2010.</w:t>
      </w:r>
    </w:p>
    <w:p w:rsidR="00372C0C" w:rsidRPr="003604A9" w:rsidRDefault="00372C0C" w:rsidP="00755535">
      <w:pPr>
        <w:pStyle w:val="Textonotapie"/>
        <w:spacing w:line="360" w:lineRule="auto"/>
        <w:ind w:firstLine="709"/>
        <w:jc w:val="both"/>
        <w:rPr>
          <w:rFonts w:ascii="Times New Roman" w:hAnsi="Times New Roman" w:cs="Times New Roman"/>
        </w:rPr>
      </w:pPr>
      <w:r w:rsidRPr="003604A9">
        <w:rPr>
          <w:rFonts w:ascii="Times New Roman" w:hAnsi="Times New Roman" w:cs="Times New Roman"/>
        </w:rPr>
        <w:t xml:space="preserve">Di Benedetto, Antonio. </w:t>
      </w:r>
      <w:r w:rsidRPr="003604A9">
        <w:rPr>
          <w:rFonts w:ascii="Times New Roman" w:hAnsi="Times New Roman" w:cs="Times New Roman"/>
          <w:i/>
        </w:rPr>
        <w:t>Mundo animal</w:t>
      </w:r>
      <w:r w:rsidRPr="003604A9">
        <w:rPr>
          <w:rFonts w:ascii="Times New Roman" w:hAnsi="Times New Roman" w:cs="Times New Roman"/>
        </w:rPr>
        <w:t xml:space="preserve">, </w:t>
      </w:r>
      <w:r w:rsidRPr="003604A9">
        <w:rPr>
          <w:rFonts w:ascii="Times New Roman" w:hAnsi="Times New Roman" w:cs="Times New Roman"/>
          <w:i/>
        </w:rPr>
        <w:t>Cuentos Completos</w:t>
      </w:r>
      <w:r w:rsidRPr="003604A9">
        <w:rPr>
          <w:rFonts w:ascii="Times New Roman" w:hAnsi="Times New Roman" w:cs="Times New Roman"/>
        </w:rPr>
        <w:t>, B</w:t>
      </w:r>
      <w:r w:rsidR="00EB343F" w:rsidRPr="003604A9">
        <w:rPr>
          <w:rFonts w:ascii="Times New Roman" w:hAnsi="Times New Roman" w:cs="Times New Roman"/>
        </w:rPr>
        <w:t>s. As.</w:t>
      </w:r>
      <w:r w:rsidRPr="003604A9">
        <w:rPr>
          <w:rFonts w:ascii="Times New Roman" w:hAnsi="Times New Roman" w:cs="Times New Roman"/>
        </w:rPr>
        <w:t xml:space="preserve"> Adriana Hidalgo, 2009.</w:t>
      </w:r>
    </w:p>
    <w:p w:rsidR="00372C0C" w:rsidRPr="003604A9" w:rsidRDefault="00372C0C" w:rsidP="00755535">
      <w:pPr>
        <w:pStyle w:val="Textonotapie"/>
        <w:spacing w:line="360" w:lineRule="auto"/>
        <w:ind w:firstLine="709"/>
        <w:jc w:val="both"/>
        <w:rPr>
          <w:rFonts w:ascii="Times New Roman" w:hAnsi="Times New Roman" w:cs="Times New Roman"/>
        </w:rPr>
      </w:pPr>
      <w:r w:rsidRPr="00755535">
        <w:rPr>
          <w:rFonts w:ascii="Times New Roman" w:hAnsi="Times New Roman" w:cs="Times New Roman"/>
        </w:rPr>
        <w:t xml:space="preserve">Lippit, Akira Mizuta. </w:t>
      </w:r>
      <w:r w:rsidRPr="003604A9">
        <w:rPr>
          <w:rFonts w:ascii="Times New Roman" w:hAnsi="Times New Roman" w:cs="Times New Roman"/>
          <w:i/>
          <w:lang w:val="en-US"/>
        </w:rPr>
        <w:t>Electric animal. Toward a Rhetoric of Wildlife</w:t>
      </w:r>
      <w:r w:rsidRPr="003604A9">
        <w:rPr>
          <w:rFonts w:ascii="Times New Roman" w:hAnsi="Times New Roman" w:cs="Times New Roman"/>
          <w:lang w:val="en-US"/>
        </w:rPr>
        <w:t xml:space="preserve">. </w:t>
      </w:r>
      <w:r w:rsidRPr="003604A9">
        <w:rPr>
          <w:rFonts w:ascii="Times New Roman" w:hAnsi="Times New Roman" w:cs="Times New Roman"/>
        </w:rPr>
        <w:t>University of Minnesota Press, 2000.</w:t>
      </w:r>
    </w:p>
    <w:p w:rsidR="00372C0C" w:rsidRPr="003604A9" w:rsidRDefault="00372C0C" w:rsidP="00755535">
      <w:pPr>
        <w:pStyle w:val="Textonotapie"/>
        <w:spacing w:line="360" w:lineRule="auto"/>
        <w:ind w:firstLine="709"/>
        <w:jc w:val="both"/>
        <w:rPr>
          <w:rFonts w:ascii="Times New Roman" w:hAnsi="Times New Roman" w:cs="Times New Roman"/>
        </w:rPr>
      </w:pPr>
      <w:r w:rsidRPr="003604A9">
        <w:rPr>
          <w:rFonts w:ascii="Times New Roman" w:hAnsi="Times New Roman" w:cs="Times New Roman"/>
        </w:rPr>
        <w:t xml:space="preserve">Nietzsche, Friedrich. </w:t>
      </w:r>
      <w:r w:rsidRPr="003604A9">
        <w:rPr>
          <w:rFonts w:ascii="Times New Roman" w:hAnsi="Times New Roman" w:cs="Times New Roman"/>
          <w:i/>
        </w:rPr>
        <w:t>Así habló Zarathustra</w:t>
      </w:r>
      <w:r w:rsidRPr="003604A9">
        <w:rPr>
          <w:rFonts w:ascii="Times New Roman" w:hAnsi="Times New Roman" w:cs="Times New Roman"/>
        </w:rPr>
        <w:t>. Barcelona: Bruguera, 1981.</w:t>
      </w:r>
    </w:p>
    <w:p w:rsidR="00372C0C" w:rsidRPr="003604A9" w:rsidRDefault="00372C0C" w:rsidP="00755535">
      <w:pPr>
        <w:pStyle w:val="Textonotapie"/>
        <w:spacing w:line="360" w:lineRule="auto"/>
        <w:ind w:firstLine="709"/>
        <w:jc w:val="both"/>
        <w:rPr>
          <w:rFonts w:ascii="Times New Roman" w:hAnsi="Times New Roman" w:cs="Times New Roman"/>
        </w:rPr>
      </w:pPr>
      <w:r w:rsidRPr="003604A9">
        <w:rPr>
          <w:rFonts w:ascii="Times New Roman" w:hAnsi="Times New Roman" w:cs="Times New Roman"/>
        </w:rPr>
        <w:lastRenderedPageBreak/>
        <w:t xml:space="preserve">Nietzsche, Friedrich. </w:t>
      </w:r>
      <w:r w:rsidRPr="003604A9">
        <w:rPr>
          <w:rFonts w:ascii="Times New Roman" w:hAnsi="Times New Roman" w:cs="Times New Roman"/>
          <w:i/>
        </w:rPr>
        <w:t xml:space="preserve">Más allá del bien y del mal. </w:t>
      </w:r>
      <w:r w:rsidRPr="003604A9">
        <w:rPr>
          <w:rFonts w:ascii="Times New Roman" w:hAnsi="Times New Roman" w:cs="Times New Roman"/>
        </w:rPr>
        <w:t xml:space="preserve">Madrid: Alianza, 1999. </w:t>
      </w:r>
    </w:p>
    <w:p w:rsidR="00372C0C" w:rsidRPr="003604A9" w:rsidRDefault="00372C0C" w:rsidP="00755535">
      <w:pPr>
        <w:pStyle w:val="Textonotapie"/>
        <w:spacing w:line="360" w:lineRule="auto"/>
        <w:ind w:firstLine="709"/>
        <w:jc w:val="both"/>
        <w:rPr>
          <w:rFonts w:ascii="Times New Roman" w:hAnsi="Times New Roman" w:cs="Times New Roman"/>
        </w:rPr>
      </w:pPr>
      <w:r w:rsidRPr="003604A9">
        <w:rPr>
          <w:rFonts w:ascii="Times New Roman" w:hAnsi="Times New Roman" w:cs="Times New Roman"/>
        </w:rPr>
        <w:t xml:space="preserve">Nietzsche, Friedrich. </w:t>
      </w:r>
      <w:r w:rsidRPr="003604A9">
        <w:rPr>
          <w:rFonts w:ascii="Times New Roman" w:hAnsi="Times New Roman" w:cs="Times New Roman"/>
          <w:i/>
        </w:rPr>
        <w:t>Genealogía de la moral</w:t>
      </w:r>
      <w:r w:rsidRPr="003604A9">
        <w:rPr>
          <w:rFonts w:ascii="Times New Roman" w:hAnsi="Times New Roman" w:cs="Times New Roman"/>
        </w:rPr>
        <w:t>. Madrid: Alianza, 2005.</w:t>
      </w:r>
    </w:p>
    <w:p w:rsidR="00BE4D76" w:rsidRPr="003604A9" w:rsidRDefault="00372C0C" w:rsidP="00755535">
      <w:pPr>
        <w:pStyle w:val="Textonotapie"/>
        <w:spacing w:line="360" w:lineRule="auto"/>
        <w:ind w:firstLine="709"/>
        <w:jc w:val="both"/>
        <w:rPr>
          <w:rFonts w:ascii="Times New Roman" w:hAnsi="Times New Roman" w:cs="Times New Roman"/>
        </w:rPr>
      </w:pPr>
      <w:r w:rsidRPr="003604A9">
        <w:rPr>
          <w:rFonts w:ascii="Times New Roman" w:hAnsi="Times New Roman" w:cs="Times New Roman"/>
        </w:rPr>
        <w:t xml:space="preserve">Penchaszadeh, Ana Paula. “Política, don y hospitalidad en el pensamiento de Jacques Derrida”. </w:t>
      </w:r>
      <w:r w:rsidRPr="003604A9">
        <w:rPr>
          <w:rFonts w:ascii="Times New Roman" w:hAnsi="Times New Roman" w:cs="Times New Roman"/>
          <w:i/>
        </w:rPr>
        <w:t xml:space="preserve">ISEGORÍA. Revista de Filosofía Moral y Política, </w:t>
      </w:r>
      <w:r w:rsidRPr="003604A9">
        <w:rPr>
          <w:rFonts w:ascii="Times New Roman" w:hAnsi="Times New Roman" w:cs="Times New Roman"/>
        </w:rPr>
        <w:t>N° 44, enero-junio de 2011.</w:t>
      </w:r>
    </w:p>
    <w:sectPr w:rsidR="00BE4D76" w:rsidRPr="003604A9" w:rsidSect="003604A9">
      <w:pgSz w:w="11906" w:h="16838"/>
      <w:pgMar w:top="1418" w:right="1644" w:bottom="1134"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A49" w:rsidRDefault="00445A49" w:rsidP="003C02D9">
      <w:pPr>
        <w:spacing w:after="0" w:line="240" w:lineRule="auto"/>
      </w:pPr>
      <w:r>
        <w:separator/>
      </w:r>
    </w:p>
  </w:endnote>
  <w:endnote w:type="continuationSeparator" w:id="0">
    <w:p w:rsidR="00445A49" w:rsidRDefault="00445A49" w:rsidP="003C0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A49" w:rsidRDefault="00445A49" w:rsidP="003C02D9">
      <w:pPr>
        <w:spacing w:after="0" w:line="240" w:lineRule="auto"/>
      </w:pPr>
      <w:r>
        <w:separator/>
      </w:r>
    </w:p>
  </w:footnote>
  <w:footnote w:type="continuationSeparator" w:id="0">
    <w:p w:rsidR="00445A49" w:rsidRDefault="00445A49" w:rsidP="003C02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2D9"/>
    <w:rsid w:val="000105D2"/>
    <w:rsid w:val="00024423"/>
    <w:rsid w:val="0005013C"/>
    <w:rsid w:val="000F59F0"/>
    <w:rsid w:val="001A3457"/>
    <w:rsid w:val="001B3DE4"/>
    <w:rsid w:val="002A6FED"/>
    <w:rsid w:val="00357465"/>
    <w:rsid w:val="003604A9"/>
    <w:rsid w:val="00372C0C"/>
    <w:rsid w:val="003C02D9"/>
    <w:rsid w:val="0043583C"/>
    <w:rsid w:val="00445A49"/>
    <w:rsid w:val="004624CE"/>
    <w:rsid w:val="0048735F"/>
    <w:rsid w:val="004A1DFD"/>
    <w:rsid w:val="004F28CB"/>
    <w:rsid w:val="005218B2"/>
    <w:rsid w:val="00545471"/>
    <w:rsid w:val="00755535"/>
    <w:rsid w:val="007B1151"/>
    <w:rsid w:val="00872932"/>
    <w:rsid w:val="00980401"/>
    <w:rsid w:val="00992F37"/>
    <w:rsid w:val="009E1B05"/>
    <w:rsid w:val="00A5093F"/>
    <w:rsid w:val="00B57215"/>
    <w:rsid w:val="00BE4D76"/>
    <w:rsid w:val="00C533F3"/>
    <w:rsid w:val="00C966FD"/>
    <w:rsid w:val="00CC19C6"/>
    <w:rsid w:val="00D236C3"/>
    <w:rsid w:val="00D25B73"/>
    <w:rsid w:val="00D60D15"/>
    <w:rsid w:val="00DE135E"/>
    <w:rsid w:val="00DF4198"/>
    <w:rsid w:val="00E20D6C"/>
    <w:rsid w:val="00EB343F"/>
    <w:rsid w:val="00EB5343"/>
    <w:rsid w:val="00F12D7C"/>
    <w:rsid w:val="00F26CF8"/>
    <w:rsid w:val="00F6463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A0C58"/>
  <w15:docId w15:val="{F510833D-6898-4937-ADE9-D9B4E6413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2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3C02D9"/>
    <w:pPr>
      <w:spacing w:after="0" w:line="240" w:lineRule="auto"/>
    </w:pPr>
    <w:rPr>
      <w:sz w:val="20"/>
      <w:szCs w:val="20"/>
    </w:rPr>
  </w:style>
  <w:style w:type="character" w:customStyle="1" w:styleId="TextonotapieCar">
    <w:name w:val="Texto nota pie Car"/>
    <w:basedOn w:val="Fuentedeprrafopredeter"/>
    <w:link w:val="Textonotapie"/>
    <w:uiPriority w:val="99"/>
    <w:rsid w:val="003C02D9"/>
    <w:rPr>
      <w:sz w:val="20"/>
      <w:szCs w:val="20"/>
    </w:rPr>
  </w:style>
  <w:style w:type="character" w:styleId="Refdenotaalpie">
    <w:name w:val="footnote reference"/>
    <w:basedOn w:val="Fuentedeprrafopredeter"/>
    <w:uiPriority w:val="99"/>
    <w:semiHidden/>
    <w:unhideWhenUsed/>
    <w:rsid w:val="003C02D9"/>
    <w:rPr>
      <w:vertAlign w:val="superscript"/>
    </w:rPr>
  </w:style>
  <w:style w:type="character" w:styleId="Hipervnculo">
    <w:name w:val="Hyperlink"/>
    <w:basedOn w:val="Fuentedeprrafopredeter"/>
    <w:uiPriority w:val="99"/>
    <w:unhideWhenUsed/>
    <w:rsid w:val="003C02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4DC67-5E4F-4431-82CE-59979FB33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11</Pages>
  <Words>4396</Words>
  <Characters>24180</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rafae</cp:lastModifiedBy>
  <cp:revision>31</cp:revision>
  <dcterms:created xsi:type="dcterms:W3CDTF">2017-06-26T17:33:00Z</dcterms:created>
  <dcterms:modified xsi:type="dcterms:W3CDTF">2017-07-18T00:48:00Z</dcterms:modified>
</cp:coreProperties>
</file>