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1F51E" w14:textId="77777777" w:rsidR="00803AEE" w:rsidRPr="0030006E" w:rsidRDefault="00C25E7D" w:rsidP="0030006E">
      <w:pPr>
        <w:spacing w:line="360" w:lineRule="auto"/>
        <w:rPr>
          <w:rFonts w:ascii="Times New Roman" w:hAnsi="Times New Roman" w:cs="Times New Roman"/>
          <w:b/>
          <w:bCs/>
          <w:sz w:val="24"/>
          <w:szCs w:val="24"/>
        </w:rPr>
      </w:pPr>
      <w:bookmarkStart w:id="0" w:name="_GoBack"/>
      <w:r w:rsidRPr="0030006E">
        <w:rPr>
          <w:rFonts w:ascii="Times New Roman" w:hAnsi="Times New Roman" w:cs="Times New Roman"/>
          <w:b/>
          <w:bCs/>
          <w:sz w:val="24"/>
          <w:szCs w:val="24"/>
        </w:rPr>
        <w:t>La persecución de la pobreza: el poder judicial como sujeto protagónico en la construcción de la otredad</w:t>
      </w:r>
    </w:p>
    <w:p w14:paraId="4F1549B4" w14:textId="77777777" w:rsidR="00F96301" w:rsidRPr="0030006E" w:rsidRDefault="008C7849" w:rsidP="0030006E">
      <w:pPr>
        <w:spacing w:after="0" w:line="360" w:lineRule="auto"/>
        <w:jc w:val="right"/>
        <w:rPr>
          <w:rFonts w:ascii="Times New Roman" w:eastAsia="Calibri" w:hAnsi="Times New Roman" w:cs="Times New Roman"/>
          <w:b/>
          <w:bCs/>
          <w:sz w:val="24"/>
          <w:szCs w:val="24"/>
        </w:rPr>
      </w:pPr>
      <w:r w:rsidRPr="0030006E">
        <w:rPr>
          <w:rFonts w:ascii="Times New Roman" w:eastAsia="Calibri" w:hAnsi="Times New Roman" w:cs="Times New Roman"/>
          <w:b/>
          <w:bCs/>
          <w:sz w:val="24"/>
          <w:szCs w:val="24"/>
          <w:lang w:val="es-ES"/>
        </w:rPr>
        <w:t>Alexia Campos</w:t>
      </w:r>
    </w:p>
    <w:p w14:paraId="7EB95501" w14:textId="77777777" w:rsidR="002D123C" w:rsidRPr="0030006E" w:rsidRDefault="002D123C" w:rsidP="0030006E">
      <w:pPr>
        <w:spacing w:after="0" w:line="360" w:lineRule="auto"/>
        <w:jc w:val="right"/>
        <w:rPr>
          <w:rFonts w:ascii="Times New Roman" w:eastAsia="Calibri" w:hAnsi="Times New Roman" w:cs="Times New Roman"/>
          <w:b/>
          <w:bCs/>
          <w:sz w:val="24"/>
          <w:szCs w:val="24"/>
        </w:rPr>
      </w:pPr>
      <w:r w:rsidRPr="0030006E">
        <w:rPr>
          <w:rFonts w:ascii="Times New Roman" w:hAnsi="Times New Roman" w:cs="Times New Roman"/>
          <w:bCs/>
          <w:i/>
          <w:sz w:val="24"/>
          <w:szCs w:val="24"/>
        </w:rPr>
        <w:t>Estudiante de Derecho</w:t>
      </w:r>
    </w:p>
    <w:p w14:paraId="26FF06AB" w14:textId="77777777" w:rsidR="002D123C" w:rsidRPr="0030006E" w:rsidRDefault="002D123C" w:rsidP="0030006E">
      <w:pPr>
        <w:spacing w:after="0" w:line="360" w:lineRule="auto"/>
        <w:jc w:val="right"/>
        <w:rPr>
          <w:rFonts w:ascii="Times New Roman" w:hAnsi="Times New Roman" w:cs="Times New Roman"/>
          <w:bCs/>
          <w:i/>
          <w:sz w:val="24"/>
          <w:szCs w:val="24"/>
        </w:rPr>
      </w:pPr>
      <w:r w:rsidRPr="0030006E">
        <w:rPr>
          <w:rFonts w:ascii="Times New Roman" w:hAnsi="Times New Roman" w:cs="Times New Roman"/>
          <w:bCs/>
          <w:i/>
          <w:sz w:val="24"/>
          <w:szCs w:val="24"/>
        </w:rPr>
        <w:t>Universidad de Buenos Aires (UBA)</w:t>
      </w:r>
    </w:p>
    <w:p w14:paraId="20AF98FA" w14:textId="77777777" w:rsidR="0045189E" w:rsidRPr="0030006E" w:rsidRDefault="0030006E" w:rsidP="0030006E">
      <w:pPr>
        <w:spacing w:after="0" w:line="360" w:lineRule="auto"/>
        <w:jc w:val="right"/>
        <w:rPr>
          <w:rFonts w:ascii="Times New Roman" w:hAnsi="Times New Roman" w:cs="Times New Roman"/>
          <w:bCs/>
          <w:i/>
          <w:sz w:val="24"/>
          <w:szCs w:val="24"/>
          <w:lang w:val="pt-BR"/>
        </w:rPr>
      </w:pPr>
      <w:hyperlink r:id="rId9" w:history="1">
        <w:r w:rsidR="0045189E" w:rsidRPr="0030006E">
          <w:rPr>
            <w:rStyle w:val="Hyperlink"/>
            <w:rFonts w:ascii="Times New Roman" w:hAnsi="Times New Roman" w:cs="Times New Roman"/>
            <w:sz w:val="24"/>
            <w:szCs w:val="24"/>
            <w:lang w:val="pt-BR"/>
          </w:rPr>
          <w:t>ale.vcl@hotmail.com</w:t>
        </w:r>
      </w:hyperlink>
    </w:p>
    <w:p w14:paraId="0B8C73E8" w14:textId="77777777" w:rsidR="00BC1384" w:rsidRPr="0030006E" w:rsidRDefault="00BC1384" w:rsidP="0030006E">
      <w:pPr>
        <w:spacing w:line="360" w:lineRule="auto"/>
        <w:jc w:val="both"/>
        <w:rPr>
          <w:rFonts w:ascii="Times New Roman" w:hAnsi="Times New Roman" w:cs="Times New Roman"/>
          <w:bCs/>
          <w:sz w:val="24"/>
          <w:szCs w:val="24"/>
        </w:rPr>
      </w:pPr>
    </w:p>
    <w:p w14:paraId="264750E4" w14:textId="77777777" w:rsidR="00DF33FB" w:rsidRPr="0030006E" w:rsidRDefault="00613BA1" w:rsidP="0030006E">
      <w:pPr>
        <w:pStyle w:val="ListParagraph"/>
        <w:numPr>
          <w:ilvl w:val="0"/>
          <w:numId w:val="2"/>
        </w:numPr>
        <w:spacing w:line="360" w:lineRule="auto"/>
        <w:jc w:val="both"/>
        <w:rPr>
          <w:rFonts w:ascii="Times New Roman" w:hAnsi="Times New Roman" w:cs="Times New Roman"/>
          <w:b/>
          <w:bCs/>
          <w:sz w:val="24"/>
          <w:szCs w:val="24"/>
        </w:rPr>
      </w:pPr>
      <w:r w:rsidRPr="0030006E">
        <w:rPr>
          <w:rFonts w:ascii="Times New Roman" w:hAnsi="Times New Roman" w:cs="Times New Roman"/>
          <w:b/>
          <w:bCs/>
          <w:sz w:val="24"/>
          <w:szCs w:val="24"/>
        </w:rPr>
        <w:t>Introducción</w:t>
      </w:r>
    </w:p>
    <w:p w14:paraId="18F70ADB" w14:textId="77777777" w:rsidR="00B977CD" w:rsidRPr="0030006E" w:rsidRDefault="00DF33FB" w:rsidP="0030006E">
      <w:pPr>
        <w:spacing w:line="360" w:lineRule="auto"/>
        <w:jc w:val="both"/>
        <w:rPr>
          <w:rFonts w:ascii="Times New Roman" w:hAnsi="Times New Roman" w:cs="Times New Roman"/>
          <w:b/>
          <w:bCs/>
          <w:sz w:val="24"/>
          <w:szCs w:val="24"/>
        </w:rPr>
      </w:pPr>
      <w:r w:rsidRPr="0030006E">
        <w:rPr>
          <w:rFonts w:ascii="Times New Roman" w:hAnsi="Times New Roman" w:cs="Times New Roman"/>
          <w:sz w:val="24"/>
          <w:szCs w:val="24"/>
        </w:rPr>
        <w:t xml:space="preserve">     </w:t>
      </w:r>
      <w:r w:rsidR="00564DEC" w:rsidRPr="0030006E">
        <w:rPr>
          <w:rFonts w:ascii="Times New Roman" w:hAnsi="Times New Roman" w:cs="Times New Roman"/>
          <w:sz w:val="24"/>
          <w:szCs w:val="24"/>
        </w:rPr>
        <w:t xml:space="preserve">El proceso de colonización sufrido por Nuestra América toda, es basto conocido y estudiado. A lo largo de los últimos años, la reflexión y construcción de pensamiento crítico con respecto a ese período de la historia ha florecido, multiplicándose en diversos espacios e instituciones. Sin embargo, concebimos la colonialidad -de poder- como una realidad que se observa actualmente en las personas que conforman el Estado, en todas sus dimensiones y estructuras y, principalmente, en las lógicas y reglas de juego </w:t>
      </w:r>
      <w:r w:rsidR="006075B1" w:rsidRPr="0030006E">
        <w:rPr>
          <w:rFonts w:ascii="Times New Roman" w:hAnsi="Times New Roman" w:cs="Times New Roman"/>
          <w:sz w:val="24"/>
          <w:szCs w:val="24"/>
        </w:rPr>
        <w:t>del aparato estatal. E</w:t>
      </w:r>
      <w:r w:rsidR="00564DEC" w:rsidRPr="0030006E">
        <w:rPr>
          <w:rFonts w:ascii="Times New Roman" w:hAnsi="Times New Roman" w:cs="Times New Roman"/>
          <w:sz w:val="24"/>
          <w:szCs w:val="24"/>
        </w:rPr>
        <w:t xml:space="preserve">l triunfo del colonialismo está en la perpetuidad, hasta los días que nos encuentran, de las categorías e ideas que éste implantó. </w:t>
      </w:r>
      <w:r w:rsidR="00A66C3F" w:rsidRPr="0030006E">
        <w:rPr>
          <w:rFonts w:ascii="Times New Roman" w:hAnsi="Times New Roman" w:cs="Times New Roman"/>
          <w:sz w:val="24"/>
          <w:szCs w:val="24"/>
        </w:rPr>
        <w:t>El colonialismo externo pasó a dib</w:t>
      </w:r>
      <w:r w:rsidR="006075B1" w:rsidRPr="0030006E">
        <w:rPr>
          <w:rFonts w:ascii="Times New Roman" w:hAnsi="Times New Roman" w:cs="Times New Roman"/>
          <w:sz w:val="24"/>
          <w:szCs w:val="24"/>
        </w:rPr>
        <w:t>u</w:t>
      </w:r>
      <w:r w:rsidR="00A66C3F" w:rsidRPr="0030006E">
        <w:rPr>
          <w:rFonts w:ascii="Times New Roman" w:hAnsi="Times New Roman" w:cs="Times New Roman"/>
          <w:sz w:val="24"/>
          <w:szCs w:val="24"/>
        </w:rPr>
        <w:t xml:space="preserve">jar rasgos internos: </w:t>
      </w:r>
      <w:r w:rsidR="00220F86" w:rsidRPr="0030006E">
        <w:rPr>
          <w:rFonts w:ascii="Times New Roman" w:hAnsi="Times New Roman" w:cs="Times New Roman"/>
          <w:sz w:val="24"/>
          <w:szCs w:val="24"/>
        </w:rPr>
        <w:t>l</w:t>
      </w:r>
      <w:r w:rsidR="00564DEC" w:rsidRPr="0030006E">
        <w:rPr>
          <w:rFonts w:ascii="Times New Roman" w:hAnsi="Times New Roman" w:cs="Times New Roman"/>
          <w:sz w:val="24"/>
          <w:szCs w:val="24"/>
        </w:rPr>
        <w:t>a administración de justicia, el sujeto que persigue y el sujeto perseguido, son la pra</w:t>
      </w:r>
      <w:r w:rsidR="006075B1" w:rsidRPr="0030006E">
        <w:rPr>
          <w:rFonts w:ascii="Times New Roman" w:hAnsi="Times New Roman" w:cs="Times New Roman"/>
          <w:sz w:val="24"/>
          <w:szCs w:val="24"/>
        </w:rPr>
        <w:t>xis misma de las lógicas con la</w:t>
      </w:r>
      <w:r w:rsidR="00564DEC" w:rsidRPr="0030006E">
        <w:rPr>
          <w:rFonts w:ascii="Times New Roman" w:hAnsi="Times New Roman" w:cs="Times New Roman"/>
          <w:sz w:val="24"/>
          <w:szCs w:val="24"/>
        </w:rPr>
        <w:t xml:space="preserve"> que los Estados latinos fueron fundados.</w:t>
      </w:r>
    </w:p>
    <w:p w14:paraId="586826BC" w14:textId="77777777" w:rsidR="000556D4" w:rsidRPr="0030006E" w:rsidRDefault="00CF085C" w:rsidP="0030006E">
      <w:pPr>
        <w:pStyle w:val="ListParagraph"/>
        <w:numPr>
          <w:ilvl w:val="0"/>
          <w:numId w:val="2"/>
        </w:numPr>
        <w:spacing w:line="360" w:lineRule="auto"/>
        <w:jc w:val="both"/>
        <w:rPr>
          <w:rFonts w:ascii="Times New Roman" w:hAnsi="Times New Roman" w:cs="Times New Roman"/>
          <w:b/>
          <w:bCs/>
          <w:sz w:val="24"/>
          <w:szCs w:val="24"/>
        </w:rPr>
      </w:pPr>
      <w:r w:rsidRPr="0030006E">
        <w:rPr>
          <w:rFonts w:ascii="Times New Roman" w:hAnsi="Times New Roman" w:cs="Times New Roman"/>
          <w:b/>
          <w:sz w:val="24"/>
          <w:szCs w:val="24"/>
        </w:rPr>
        <w:t xml:space="preserve"> </w:t>
      </w:r>
      <w:r w:rsidR="000556D4" w:rsidRPr="0030006E">
        <w:rPr>
          <w:rFonts w:ascii="Times New Roman" w:hAnsi="Times New Roman" w:cs="Times New Roman"/>
          <w:b/>
          <w:sz w:val="24"/>
          <w:szCs w:val="24"/>
        </w:rPr>
        <w:t xml:space="preserve">El </w:t>
      </w:r>
      <w:r w:rsidR="00FE0343" w:rsidRPr="0030006E">
        <w:rPr>
          <w:rFonts w:ascii="Times New Roman" w:hAnsi="Times New Roman" w:cs="Times New Roman"/>
          <w:b/>
          <w:sz w:val="24"/>
          <w:szCs w:val="24"/>
        </w:rPr>
        <w:t>paradigma de la otr</w:t>
      </w:r>
      <w:r w:rsidRPr="0030006E">
        <w:rPr>
          <w:rFonts w:ascii="Times New Roman" w:hAnsi="Times New Roman" w:cs="Times New Roman"/>
          <w:b/>
          <w:sz w:val="24"/>
          <w:szCs w:val="24"/>
        </w:rPr>
        <w:t>edad como construcción histórico-estructural</w:t>
      </w:r>
    </w:p>
    <w:p w14:paraId="2EA2D676" w14:textId="77777777" w:rsidR="000556D4" w:rsidRPr="0030006E" w:rsidRDefault="00DF33FB" w:rsidP="0030006E">
      <w:pPr>
        <w:spacing w:line="360" w:lineRule="auto"/>
        <w:jc w:val="both"/>
        <w:rPr>
          <w:rFonts w:ascii="Times New Roman" w:hAnsi="Times New Roman" w:cs="Times New Roman"/>
          <w:sz w:val="24"/>
          <w:szCs w:val="24"/>
        </w:rPr>
      </w:pPr>
      <w:r w:rsidRPr="0030006E">
        <w:rPr>
          <w:rFonts w:ascii="Times New Roman" w:hAnsi="Times New Roman" w:cs="Times New Roman"/>
          <w:sz w:val="24"/>
          <w:szCs w:val="24"/>
        </w:rPr>
        <w:t xml:space="preserve">     </w:t>
      </w:r>
      <w:r w:rsidR="000556D4" w:rsidRPr="0030006E">
        <w:rPr>
          <w:rFonts w:ascii="Times New Roman" w:hAnsi="Times New Roman" w:cs="Times New Roman"/>
          <w:sz w:val="24"/>
          <w:szCs w:val="24"/>
        </w:rPr>
        <w:t xml:space="preserve">El </w:t>
      </w:r>
      <w:r w:rsidR="005E0C64" w:rsidRPr="0030006E">
        <w:rPr>
          <w:rFonts w:ascii="Times New Roman" w:hAnsi="Times New Roman" w:cs="Times New Roman"/>
          <w:sz w:val="24"/>
          <w:szCs w:val="24"/>
        </w:rPr>
        <w:t>colonialismo</w:t>
      </w:r>
      <w:r w:rsidR="000556D4" w:rsidRPr="0030006E">
        <w:rPr>
          <w:rFonts w:ascii="Times New Roman" w:hAnsi="Times New Roman" w:cs="Times New Roman"/>
          <w:sz w:val="24"/>
          <w:szCs w:val="24"/>
        </w:rPr>
        <w:t xml:space="preserve"> y sus posteriores consecuencias, necesitaban de una categoría lo suficientemente profunda para que penetre no sólo los cuerpos sociales de un lado y del otro del océano, sino también para que juegue, consiguiendo el triunfo, con los universos espaciales y temporales: una idea, cat</w:t>
      </w:r>
      <w:r w:rsidR="007332E3" w:rsidRPr="0030006E">
        <w:rPr>
          <w:rFonts w:ascii="Times New Roman" w:hAnsi="Times New Roman" w:cs="Times New Roman"/>
          <w:sz w:val="24"/>
          <w:szCs w:val="24"/>
        </w:rPr>
        <w:t>egoría, construcción conceptual e</w:t>
      </w:r>
      <w:r w:rsidR="000556D4" w:rsidRPr="0030006E">
        <w:rPr>
          <w:rFonts w:ascii="Times New Roman" w:hAnsi="Times New Roman" w:cs="Times New Roman"/>
          <w:sz w:val="24"/>
          <w:szCs w:val="24"/>
        </w:rPr>
        <w:t xml:space="preserve"> ideológica, capaz de llegar a cada recoveco donde los detentadores del poder montarían sus empresas pero, fundamentalmente, capaz de ser lo suficientemente co</w:t>
      </w:r>
      <w:r w:rsidR="008F690F" w:rsidRPr="0030006E">
        <w:rPr>
          <w:rFonts w:ascii="Times New Roman" w:hAnsi="Times New Roman" w:cs="Times New Roman"/>
          <w:sz w:val="24"/>
          <w:szCs w:val="24"/>
        </w:rPr>
        <w:t xml:space="preserve">nvincente como para trascender y </w:t>
      </w:r>
      <w:r w:rsidR="000556D4" w:rsidRPr="0030006E">
        <w:rPr>
          <w:rFonts w:ascii="Times New Roman" w:hAnsi="Times New Roman" w:cs="Times New Roman"/>
          <w:sz w:val="24"/>
          <w:szCs w:val="24"/>
        </w:rPr>
        <w:t>perpetuarse</w:t>
      </w:r>
      <w:r w:rsidR="008F690F" w:rsidRPr="0030006E">
        <w:rPr>
          <w:rFonts w:ascii="Times New Roman" w:hAnsi="Times New Roman" w:cs="Times New Roman"/>
          <w:sz w:val="24"/>
          <w:szCs w:val="24"/>
        </w:rPr>
        <w:t>, representá</w:t>
      </w:r>
      <w:r w:rsidR="001C08B8" w:rsidRPr="0030006E">
        <w:rPr>
          <w:rFonts w:ascii="Times New Roman" w:hAnsi="Times New Roman" w:cs="Times New Roman"/>
          <w:sz w:val="24"/>
          <w:szCs w:val="24"/>
        </w:rPr>
        <w:t>n</w:t>
      </w:r>
      <w:r w:rsidR="008F690F" w:rsidRPr="0030006E">
        <w:rPr>
          <w:rFonts w:ascii="Times New Roman" w:hAnsi="Times New Roman" w:cs="Times New Roman"/>
          <w:sz w:val="24"/>
          <w:szCs w:val="24"/>
        </w:rPr>
        <w:t>dose plasmada en los sujetos que imparten poder en nuestros días</w:t>
      </w:r>
      <w:r w:rsidR="000556D4" w:rsidRPr="0030006E">
        <w:rPr>
          <w:rFonts w:ascii="Times New Roman" w:hAnsi="Times New Roman" w:cs="Times New Roman"/>
          <w:sz w:val="24"/>
          <w:szCs w:val="24"/>
        </w:rPr>
        <w:t>. Así es que, los opresores tuvieron que hacer fermentar creencias con aristas de “naturalidad”, “normalidad”, “veracidad”</w:t>
      </w:r>
      <w:r w:rsidR="00104209" w:rsidRPr="0030006E">
        <w:rPr>
          <w:rFonts w:ascii="Times New Roman" w:hAnsi="Times New Roman" w:cs="Times New Roman"/>
          <w:sz w:val="24"/>
          <w:szCs w:val="24"/>
        </w:rPr>
        <w:t>, que legitimen su colonización. Como afirma Quijano (2014</w:t>
      </w:r>
      <w:r w:rsidR="00C04EBD" w:rsidRPr="0030006E">
        <w:rPr>
          <w:rFonts w:ascii="Times New Roman" w:hAnsi="Times New Roman" w:cs="Times New Roman"/>
          <w:sz w:val="24"/>
          <w:szCs w:val="24"/>
        </w:rPr>
        <w:t>, pp. 778-779</w:t>
      </w:r>
      <w:r w:rsidR="00104209" w:rsidRPr="0030006E">
        <w:rPr>
          <w:rFonts w:ascii="Times New Roman" w:hAnsi="Times New Roman" w:cs="Times New Roman"/>
          <w:sz w:val="24"/>
          <w:szCs w:val="24"/>
        </w:rPr>
        <w:t>),</w:t>
      </w:r>
    </w:p>
    <w:p w14:paraId="380A3061" w14:textId="77777777" w:rsidR="000556D4" w:rsidRPr="0030006E" w:rsidRDefault="000556D4" w:rsidP="0030006E">
      <w:pPr>
        <w:spacing w:line="360" w:lineRule="auto"/>
        <w:ind w:left="2268"/>
        <w:jc w:val="both"/>
        <w:rPr>
          <w:rFonts w:ascii="Times New Roman" w:hAnsi="Times New Roman" w:cs="Times New Roman"/>
          <w:sz w:val="24"/>
          <w:szCs w:val="24"/>
        </w:rPr>
      </w:pPr>
      <w:r w:rsidRPr="0030006E">
        <w:rPr>
          <w:rFonts w:ascii="Times New Roman" w:hAnsi="Times New Roman" w:cs="Times New Roman"/>
          <w:sz w:val="24"/>
          <w:szCs w:val="24"/>
        </w:rPr>
        <w:lastRenderedPageBreak/>
        <w:t xml:space="preserve">“Raza se convirtió en el primer criterio fundamental para la distribución de la población mundial en rangos, lugares y roles en la estructura de poder de la nueva sociedad. En otros términos, en el modo básico de clasificación social universal de la población mundial”. </w:t>
      </w:r>
    </w:p>
    <w:p w14:paraId="79EEC5F6" w14:textId="77777777" w:rsidR="000556D4" w:rsidRPr="0030006E" w:rsidRDefault="00137301" w:rsidP="0030006E">
      <w:pPr>
        <w:spacing w:line="360" w:lineRule="auto"/>
        <w:ind w:left="2268"/>
        <w:jc w:val="both"/>
        <w:rPr>
          <w:rFonts w:ascii="Times New Roman" w:hAnsi="Times New Roman" w:cs="Times New Roman"/>
          <w:sz w:val="24"/>
          <w:szCs w:val="24"/>
        </w:rPr>
      </w:pPr>
      <w:r w:rsidRPr="0030006E">
        <w:rPr>
          <w:rFonts w:ascii="Times New Roman" w:hAnsi="Times New Roman" w:cs="Times New Roman"/>
          <w:sz w:val="24"/>
          <w:szCs w:val="24"/>
        </w:rPr>
        <w:t xml:space="preserve"> </w:t>
      </w:r>
      <w:r w:rsidR="000556D4" w:rsidRPr="0030006E">
        <w:rPr>
          <w:rFonts w:ascii="Times New Roman" w:hAnsi="Times New Roman" w:cs="Times New Roman"/>
          <w:sz w:val="24"/>
          <w:szCs w:val="24"/>
        </w:rPr>
        <w:t>“[…] raza e identidad racial fueron establecidas como instrumentos de clasificación social básica de la población; […] como naturalización de esas relaciones coloniales de dominación entre europeos y no-europeos”.</w:t>
      </w:r>
    </w:p>
    <w:p w14:paraId="582D6E91" w14:textId="77777777" w:rsidR="00B977CD" w:rsidRPr="0030006E" w:rsidRDefault="00B977CD" w:rsidP="0030006E">
      <w:pPr>
        <w:spacing w:before="240" w:line="360" w:lineRule="auto"/>
        <w:jc w:val="both"/>
        <w:rPr>
          <w:rFonts w:ascii="Times New Roman" w:hAnsi="Times New Roman" w:cs="Times New Roman"/>
          <w:sz w:val="24"/>
          <w:szCs w:val="24"/>
        </w:rPr>
      </w:pPr>
      <w:r w:rsidRPr="0030006E">
        <w:rPr>
          <w:rFonts w:ascii="Times New Roman" w:hAnsi="Times New Roman" w:cs="Times New Roman"/>
          <w:sz w:val="24"/>
          <w:szCs w:val="24"/>
        </w:rPr>
        <w:t xml:space="preserve">     </w:t>
      </w:r>
      <w:r w:rsidR="00E87216" w:rsidRPr="0030006E">
        <w:rPr>
          <w:rFonts w:ascii="Times New Roman" w:hAnsi="Times New Roman" w:cs="Times New Roman"/>
          <w:sz w:val="24"/>
          <w:szCs w:val="24"/>
        </w:rPr>
        <w:t xml:space="preserve">Para que esta categoría continúe al día de hoy atravesando cada espacio donde se </w:t>
      </w:r>
      <w:r w:rsidR="00AE2CAB" w:rsidRPr="0030006E">
        <w:rPr>
          <w:rFonts w:ascii="Times New Roman" w:hAnsi="Times New Roman" w:cs="Times New Roman"/>
          <w:sz w:val="24"/>
          <w:szCs w:val="24"/>
        </w:rPr>
        <w:t>(re)</w:t>
      </w:r>
      <w:r w:rsidR="00E87216" w:rsidRPr="0030006E">
        <w:rPr>
          <w:rFonts w:ascii="Times New Roman" w:hAnsi="Times New Roman" w:cs="Times New Roman"/>
          <w:sz w:val="24"/>
          <w:szCs w:val="24"/>
        </w:rPr>
        <w:t>configura el poder</w:t>
      </w:r>
      <w:r w:rsidR="001C08B8" w:rsidRPr="0030006E">
        <w:rPr>
          <w:rFonts w:ascii="Times New Roman" w:hAnsi="Times New Roman" w:cs="Times New Roman"/>
          <w:sz w:val="24"/>
          <w:szCs w:val="24"/>
        </w:rPr>
        <w:t>,</w:t>
      </w:r>
      <w:r w:rsidR="00E87216" w:rsidRPr="0030006E">
        <w:rPr>
          <w:rFonts w:ascii="Times New Roman" w:hAnsi="Times New Roman" w:cs="Times New Roman"/>
          <w:sz w:val="24"/>
          <w:szCs w:val="24"/>
        </w:rPr>
        <w:t xml:space="preserve"> es que era y es necesario poner el foco en e</w:t>
      </w:r>
      <w:r w:rsidR="000556D4" w:rsidRPr="0030006E">
        <w:rPr>
          <w:rFonts w:ascii="Times New Roman" w:hAnsi="Times New Roman" w:cs="Times New Roman"/>
          <w:sz w:val="24"/>
          <w:szCs w:val="24"/>
        </w:rPr>
        <w:t xml:space="preserve">l despojo cultural </w:t>
      </w:r>
      <w:r w:rsidR="00E87216" w:rsidRPr="0030006E">
        <w:rPr>
          <w:rFonts w:ascii="Times New Roman" w:hAnsi="Times New Roman" w:cs="Times New Roman"/>
          <w:sz w:val="24"/>
          <w:szCs w:val="24"/>
        </w:rPr>
        <w:t xml:space="preserve">de aquellos excluidos del juego. </w:t>
      </w:r>
      <w:r w:rsidR="00AE2CAB" w:rsidRPr="0030006E">
        <w:rPr>
          <w:rFonts w:ascii="Times New Roman" w:hAnsi="Times New Roman" w:cs="Times New Roman"/>
          <w:sz w:val="24"/>
          <w:szCs w:val="24"/>
        </w:rPr>
        <w:t xml:space="preserve">Tal despojo </w:t>
      </w:r>
      <w:r w:rsidR="000556D4" w:rsidRPr="0030006E">
        <w:rPr>
          <w:rFonts w:ascii="Times New Roman" w:hAnsi="Times New Roman" w:cs="Times New Roman"/>
          <w:sz w:val="24"/>
          <w:szCs w:val="24"/>
        </w:rPr>
        <w:t>llevado a cabo de forma rigurosa y seria a través de construcciones de conocimientos</w:t>
      </w:r>
      <w:r w:rsidR="0009687B" w:rsidRPr="0030006E">
        <w:rPr>
          <w:rFonts w:ascii="Times New Roman" w:hAnsi="Times New Roman" w:cs="Times New Roman"/>
          <w:sz w:val="24"/>
          <w:szCs w:val="24"/>
        </w:rPr>
        <w:t xml:space="preserve"> </w:t>
      </w:r>
      <w:r w:rsidR="00DD3A21" w:rsidRPr="0030006E">
        <w:rPr>
          <w:rFonts w:ascii="Times New Roman" w:hAnsi="Times New Roman" w:cs="Times New Roman"/>
          <w:sz w:val="24"/>
          <w:szCs w:val="24"/>
        </w:rPr>
        <w:t>c</w:t>
      </w:r>
      <w:r w:rsidR="0009687B" w:rsidRPr="0030006E">
        <w:rPr>
          <w:rFonts w:ascii="Times New Roman" w:hAnsi="Times New Roman" w:cs="Times New Roman"/>
          <w:sz w:val="24"/>
          <w:szCs w:val="24"/>
        </w:rPr>
        <w:t>on tintes de verdad</w:t>
      </w:r>
      <w:r w:rsidR="000556D4" w:rsidRPr="0030006E">
        <w:rPr>
          <w:rFonts w:ascii="Times New Roman" w:hAnsi="Times New Roman" w:cs="Times New Roman"/>
          <w:sz w:val="24"/>
          <w:szCs w:val="24"/>
        </w:rPr>
        <w:t>,</w:t>
      </w:r>
      <w:r w:rsidR="00AE2CAB" w:rsidRPr="0030006E">
        <w:rPr>
          <w:rFonts w:ascii="Times New Roman" w:hAnsi="Times New Roman" w:cs="Times New Roman"/>
          <w:sz w:val="24"/>
          <w:szCs w:val="24"/>
        </w:rPr>
        <w:t xml:space="preserve"> y su consecuente homogeneización cultural,</w:t>
      </w:r>
      <w:r w:rsidR="000556D4" w:rsidRPr="0030006E">
        <w:rPr>
          <w:rFonts w:ascii="Times New Roman" w:hAnsi="Times New Roman" w:cs="Times New Roman"/>
          <w:sz w:val="24"/>
          <w:szCs w:val="24"/>
        </w:rPr>
        <w:t xml:space="preserve"> invisibilizará la otredad: se eliminarán las subjetividades diversas existentes, fabricando un solo y mismo patrón de subjetividad:</w:t>
      </w:r>
    </w:p>
    <w:p w14:paraId="61F7A8C9" w14:textId="77777777" w:rsidR="000556D4" w:rsidRPr="0030006E" w:rsidRDefault="000556D4" w:rsidP="0030006E">
      <w:pPr>
        <w:spacing w:before="240" w:line="360" w:lineRule="auto"/>
        <w:ind w:left="2268"/>
        <w:jc w:val="both"/>
        <w:rPr>
          <w:rFonts w:ascii="Times New Roman" w:hAnsi="Times New Roman" w:cs="Times New Roman"/>
          <w:sz w:val="24"/>
          <w:szCs w:val="24"/>
        </w:rPr>
      </w:pPr>
      <w:r w:rsidRPr="0030006E">
        <w:rPr>
          <w:rFonts w:ascii="Times New Roman" w:hAnsi="Times New Roman" w:cs="Times New Roman"/>
          <w:sz w:val="24"/>
          <w:szCs w:val="24"/>
        </w:rPr>
        <w:t>“[se conformó] un solo orden cultural global en torno de la hegemonía europea u occidental. Europa concentró bajo su hegemonía el control de todas las formas de control de la subjetividad, de la cultura, y en especial del conocimiento. […] Reprimieron las formas de producción de conocimiento de los colonizados, sus patrones de producción de sentidos, su universo simbólico, sus patrones de expresión y de objetivación de la subjetividad”</w:t>
      </w:r>
      <w:r w:rsidR="008D7561" w:rsidRPr="0030006E">
        <w:rPr>
          <w:rFonts w:ascii="Times New Roman" w:hAnsi="Times New Roman" w:cs="Times New Roman"/>
          <w:sz w:val="24"/>
          <w:szCs w:val="24"/>
        </w:rPr>
        <w:t xml:space="preserve"> (Quijano, 2014, p. 787)</w:t>
      </w:r>
      <w:r w:rsidRPr="0030006E">
        <w:rPr>
          <w:rFonts w:ascii="Times New Roman" w:hAnsi="Times New Roman" w:cs="Times New Roman"/>
          <w:sz w:val="24"/>
          <w:szCs w:val="24"/>
        </w:rPr>
        <w:t>.</w:t>
      </w:r>
    </w:p>
    <w:p w14:paraId="75130760" w14:textId="77777777" w:rsidR="00B977CD" w:rsidRPr="0030006E" w:rsidRDefault="00B977CD" w:rsidP="0030006E">
      <w:pPr>
        <w:spacing w:before="240" w:line="360" w:lineRule="auto"/>
        <w:jc w:val="both"/>
        <w:rPr>
          <w:rFonts w:ascii="Times New Roman" w:hAnsi="Times New Roman" w:cs="Times New Roman"/>
          <w:sz w:val="24"/>
          <w:szCs w:val="24"/>
        </w:rPr>
      </w:pPr>
      <w:r w:rsidRPr="0030006E">
        <w:rPr>
          <w:rFonts w:ascii="Times New Roman" w:hAnsi="Times New Roman" w:cs="Times New Roman"/>
          <w:sz w:val="24"/>
          <w:szCs w:val="24"/>
        </w:rPr>
        <w:t xml:space="preserve">      </w:t>
      </w:r>
      <w:r w:rsidR="006037A3" w:rsidRPr="0030006E">
        <w:rPr>
          <w:rFonts w:ascii="Times New Roman" w:hAnsi="Times New Roman" w:cs="Times New Roman"/>
          <w:sz w:val="24"/>
          <w:szCs w:val="24"/>
        </w:rPr>
        <w:t xml:space="preserve">Este proceso de homogeneización de los cuerpos sociales permitió la eliminación formal </w:t>
      </w:r>
      <w:r w:rsidR="00DB245A" w:rsidRPr="0030006E">
        <w:rPr>
          <w:rFonts w:ascii="Times New Roman" w:hAnsi="Times New Roman" w:cs="Times New Roman"/>
          <w:sz w:val="24"/>
          <w:szCs w:val="24"/>
        </w:rPr>
        <w:t xml:space="preserve">-y </w:t>
      </w:r>
      <w:r w:rsidR="00796361" w:rsidRPr="0030006E">
        <w:rPr>
          <w:rFonts w:ascii="Times New Roman" w:hAnsi="Times New Roman" w:cs="Times New Roman"/>
          <w:sz w:val="24"/>
          <w:szCs w:val="24"/>
        </w:rPr>
        <w:t>ficticia-</w:t>
      </w:r>
      <w:r w:rsidR="006037A3" w:rsidRPr="0030006E">
        <w:rPr>
          <w:rFonts w:ascii="Times New Roman" w:hAnsi="Times New Roman" w:cs="Times New Roman"/>
          <w:sz w:val="24"/>
          <w:szCs w:val="24"/>
        </w:rPr>
        <w:t xml:space="preserve"> de toda diversidad. La trascendencia de dicha homogeneidad, construcción ideológica, cultural y política, era necesaria para poder establecer la misma estructura de pensamiento hacia todas las geografías y clases sociales. El eurocentrismo conformó y conforma el surgimiento y existencia de los Estado</w:t>
      </w:r>
      <w:r w:rsidR="00036DE4" w:rsidRPr="0030006E">
        <w:rPr>
          <w:rFonts w:ascii="Times New Roman" w:hAnsi="Times New Roman" w:cs="Times New Roman"/>
          <w:sz w:val="24"/>
          <w:szCs w:val="24"/>
        </w:rPr>
        <w:t xml:space="preserve">s modernos latinoamericanos, y </w:t>
      </w:r>
      <w:r w:rsidR="006037A3" w:rsidRPr="0030006E">
        <w:rPr>
          <w:rFonts w:ascii="Times New Roman" w:hAnsi="Times New Roman" w:cs="Times New Roman"/>
          <w:sz w:val="24"/>
          <w:szCs w:val="24"/>
        </w:rPr>
        <w:t xml:space="preserve">el sector social encargado de moldear a los mismos. </w:t>
      </w:r>
    </w:p>
    <w:p w14:paraId="760EDE57" w14:textId="77777777" w:rsidR="00B977CD" w:rsidRPr="0030006E" w:rsidRDefault="00B977CD" w:rsidP="0030006E">
      <w:pPr>
        <w:spacing w:before="240" w:line="360" w:lineRule="auto"/>
        <w:jc w:val="both"/>
        <w:rPr>
          <w:rFonts w:ascii="Times New Roman" w:hAnsi="Times New Roman" w:cs="Times New Roman"/>
          <w:sz w:val="24"/>
          <w:szCs w:val="24"/>
        </w:rPr>
      </w:pPr>
      <w:r w:rsidRPr="0030006E">
        <w:rPr>
          <w:rFonts w:ascii="Times New Roman" w:hAnsi="Times New Roman" w:cs="Times New Roman"/>
          <w:sz w:val="24"/>
          <w:szCs w:val="24"/>
        </w:rPr>
        <w:t xml:space="preserve">     </w:t>
      </w:r>
      <w:r w:rsidR="000556D4" w:rsidRPr="0030006E">
        <w:rPr>
          <w:rFonts w:ascii="Times New Roman" w:hAnsi="Times New Roman" w:cs="Times New Roman"/>
          <w:sz w:val="24"/>
          <w:szCs w:val="24"/>
        </w:rPr>
        <w:t>Los sectores criollos oligárquicos serían los sujetos habilitados y capacitados para comandar “la na</w:t>
      </w:r>
      <w:r w:rsidR="003F5A6F" w:rsidRPr="0030006E">
        <w:rPr>
          <w:rFonts w:ascii="Times New Roman" w:hAnsi="Times New Roman" w:cs="Times New Roman"/>
          <w:sz w:val="24"/>
          <w:szCs w:val="24"/>
        </w:rPr>
        <w:t>ción” prematura recién surgida</w:t>
      </w:r>
      <w:r w:rsidR="000556D4" w:rsidRPr="0030006E">
        <w:rPr>
          <w:rFonts w:ascii="Times New Roman" w:hAnsi="Times New Roman" w:cs="Times New Roman"/>
          <w:sz w:val="24"/>
          <w:szCs w:val="24"/>
        </w:rPr>
        <w:t xml:space="preserve">. Dichos sectores serían los beneficiados en los procesos </w:t>
      </w:r>
      <w:r w:rsidR="000556D4" w:rsidRPr="0030006E">
        <w:rPr>
          <w:rFonts w:ascii="Times New Roman" w:hAnsi="Times New Roman" w:cs="Times New Roman"/>
          <w:sz w:val="24"/>
          <w:szCs w:val="24"/>
        </w:rPr>
        <w:lastRenderedPageBreak/>
        <w:t xml:space="preserve">independentistas latinoamericanos: los mismos apellidos y familias serán los dueños de </w:t>
      </w:r>
      <w:r w:rsidR="00AA3F12" w:rsidRPr="0030006E">
        <w:rPr>
          <w:rFonts w:ascii="Times New Roman" w:hAnsi="Times New Roman" w:cs="Times New Roman"/>
          <w:sz w:val="24"/>
          <w:szCs w:val="24"/>
        </w:rPr>
        <w:t>l</w:t>
      </w:r>
      <w:r w:rsidR="001C08B8" w:rsidRPr="0030006E">
        <w:rPr>
          <w:rFonts w:ascii="Times New Roman" w:hAnsi="Times New Roman" w:cs="Times New Roman"/>
          <w:sz w:val="24"/>
          <w:szCs w:val="24"/>
        </w:rPr>
        <w:t>a</w:t>
      </w:r>
      <w:r w:rsidR="00AA3F12" w:rsidRPr="0030006E">
        <w:rPr>
          <w:rFonts w:ascii="Times New Roman" w:hAnsi="Times New Roman" w:cs="Times New Roman"/>
          <w:sz w:val="24"/>
          <w:szCs w:val="24"/>
        </w:rPr>
        <w:t xml:space="preserve">s </w:t>
      </w:r>
      <w:r w:rsidR="001C08B8" w:rsidRPr="0030006E">
        <w:rPr>
          <w:rFonts w:ascii="Times New Roman" w:hAnsi="Times New Roman" w:cs="Times New Roman"/>
          <w:sz w:val="24"/>
          <w:szCs w:val="24"/>
        </w:rPr>
        <w:t xml:space="preserve">tierras </w:t>
      </w:r>
      <w:r w:rsidR="0077271F" w:rsidRPr="0030006E">
        <w:rPr>
          <w:rFonts w:ascii="Times New Roman" w:hAnsi="Times New Roman" w:cs="Times New Roman"/>
          <w:sz w:val="24"/>
          <w:szCs w:val="24"/>
        </w:rPr>
        <w:t>vírgenes,</w:t>
      </w:r>
      <w:r w:rsidR="00AA3F12" w:rsidRPr="0030006E">
        <w:rPr>
          <w:rFonts w:ascii="Times New Roman" w:hAnsi="Times New Roman" w:cs="Times New Roman"/>
          <w:sz w:val="24"/>
          <w:szCs w:val="24"/>
        </w:rPr>
        <w:t xml:space="preserve"> pero, principalmente, de los espacios de poder de los recientes y jóvenes Estados latinos</w:t>
      </w:r>
      <w:r w:rsidR="000556D4" w:rsidRPr="0030006E">
        <w:rPr>
          <w:rFonts w:ascii="Times New Roman" w:hAnsi="Times New Roman" w:cs="Times New Roman"/>
          <w:sz w:val="24"/>
          <w:szCs w:val="24"/>
        </w:rPr>
        <w:t xml:space="preserve">. Por cuestiones de raza, una vez más, y por la subordinación de las élites criollas terratenientes al universo cultural eurocéntrico, los numerosos y diversos pueblos originarios, mestizos y negros, </w:t>
      </w:r>
      <w:r w:rsidR="00AA3F12" w:rsidRPr="0030006E">
        <w:rPr>
          <w:rFonts w:ascii="Times New Roman" w:hAnsi="Times New Roman" w:cs="Times New Roman"/>
          <w:sz w:val="24"/>
          <w:szCs w:val="24"/>
        </w:rPr>
        <w:t>y todos los sectores de la población pobres y vulnerables, serán</w:t>
      </w:r>
      <w:r w:rsidR="000556D4" w:rsidRPr="0030006E">
        <w:rPr>
          <w:rFonts w:ascii="Times New Roman" w:hAnsi="Times New Roman" w:cs="Times New Roman"/>
          <w:sz w:val="24"/>
          <w:szCs w:val="24"/>
        </w:rPr>
        <w:t xml:space="preserve"> excluidos de la conformación de los regímenes y sistemas de gobernabilidad y de la</w:t>
      </w:r>
      <w:r w:rsidR="00C3182C" w:rsidRPr="0030006E">
        <w:rPr>
          <w:rFonts w:ascii="Times New Roman" w:hAnsi="Times New Roman" w:cs="Times New Roman"/>
          <w:sz w:val="24"/>
          <w:szCs w:val="24"/>
        </w:rPr>
        <w:t>s disputas de poder y discursos.</w:t>
      </w:r>
      <w:r w:rsidR="000556D4" w:rsidRPr="0030006E">
        <w:rPr>
          <w:rFonts w:ascii="Times New Roman" w:hAnsi="Times New Roman" w:cs="Times New Roman"/>
          <w:sz w:val="24"/>
          <w:szCs w:val="24"/>
        </w:rPr>
        <w:t xml:space="preserve"> </w:t>
      </w:r>
      <w:r w:rsidR="00C3182C" w:rsidRPr="0030006E">
        <w:rPr>
          <w:rFonts w:ascii="Times New Roman" w:hAnsi="Times New Roman" w:cs="Times New Roman"/>
          <w:sz w:val="24"/>
          <w:szCs w:val="24"/>
        </w:rPr>
        <w:t>S</w:t>
      </w:r>
      <w:r w:rsidR="000556D4" w:rsidRPr="0030006E">
        <w:rPr>
          <w:rFonts w:ascii="Times New Roman" w:hAnsi="Times New Roman" w:cs="Times New Roman"/>
          <w:sz w:val="24"/>
          <w:szCs w:val="24"/>
        </w:rPr>
        <w:t xml:space="preserve">e los elimina de las construcciones de las instituciones gobernantes, de las prácticas y lógicas que adoptarían las mismas: la legitimación de los sujetos políticos habilitados, pero principalmente, capacitados en intervenir, opinar, actuar, participar y existir en los nuevos espacios y estructuras políticas que se fundan, son los blancos, una casta de la pequeña burguesía eurocéntrica naciente, capaces de guiar a las naciones a la vida civilizada del orden y del progreso. </w:t>
      </w:r>
    </w:p>
    <w:p w14:paraId="3374A22C" w14:textId="77777777" w:rsidR="00B977CD" w:rsidRPr="0030006E" w:rsidRDefault="00B977CD" w:rsidP="0030006E">
      <w:pPr>
        <w:spacing w:before="240" w:line="360" w:lineRule="auto"/>
        <w:jc w:val="both"/>
        <w:rPr>
          <w:rFonts w:ascii="Times New Roman" w:hAnsi="Times New Roman" w:cs="Times New Roman"/>
          <w:sz w:val="24"/>
          <w:szCs w:val="24"/>
        </w:rPr>
      </w:pPr>
      <w:r w:rsidRPr="0030006E">
        <w:rPr>
          <w:rFonts w:ascii="Times New Roman" w:hAnsi="Times New Roman" w:cs="Times New Roman"/>
          <w:sz w:val="24"/>
          <w:szCs w:val="24"/>
        </w:rPr>
        <w:t xml:space="preserve">     </w:t>
      </w:r>
      <w:r w:rsidR="000556D4" w:rsidRPr="0030006E">
        <w:rPr>
          <w:rFonts w:ascii="Times New Roman" w:hAnsi="Times New Roman" w:cs="Times New Roman"/>
          <w:sz w:val="24"/>
          <w:szCs w:val="24"/>
        </w:rPr>
        <w:t>De esta manera, se construye un Estado- nación (latino) con las mismas lógicas, pre-juicios, identidades, cosmovisión que los colonizadores: el Esta</w:t>
      </w:r>
      <w:r w:rsidR="00036DE4" w:rsidRPr="0030006E">
        <w:rPr>
          <w:rFonts w:ascii="Times New Roman" w:hAnsi="Times New Roman" w:cs="Times New Roman"/>
          <w:sz w:val="24"/>
          <w:szCs w:val="24"/>
        </w:rPr>
        <w:t>do latino, es un Estado europeo cultural e ideológicamente hablando. Es u</w:t>
      </w:r>
      <w:r w:rsidR="000556D4" w:rsidRPr="0030006E">
        <w:rPr>
          <w:rFonts w:ascii="Times New Roman" w:hAnsi="Times New Roman" w:cs="Times New Roman"/>
          <w:sz w:val="24"/>
          <w:szCs w:val="24"/>
        </w:rPr>
        <w:t>n Estado racista, colonial, excluyente, moderno, desigual, discriminador, elitista. Sólo los dueños de la tierra y la incipiente burguesía “nacional” naciente, serán los capacitados de fundar a la nueva nación próspe</w:t>
      </w:r>
      <w:r w:rsidR="00A47D80" w:rsidRPr="0030006E">
        <w:rPr>
          <w:rFonts w:ascii="Times New Roman" w:hAnsi="Times New Roman" w:cs="Times New Roman"/>
          <w:sz w:val="24"/>
          <w:szCs w:val="24"/>
        </w:rPr>
        <w:t>ra y soberana.</w:t>
      </w:r>
      <w:r w:rsidR="000556D4" w:rsidRPr="0030006E">
        <w:rPr>
          <w:rFonts w:ascii="Times New Roman" w:hAnsi="Times New Roman" w:cs="Times New Roman"/>
          <w:sz w:val="24"/>
          <w:szCs w:val="24"/>
        </w:rPr>
        <w:t xml:space="preserve"> </w:t>
      </w:r>
      <w:r w:rsidR="00A47D80" w:rsidRPr="0030006E">
        <w:rPr>
          <w:rFonts w:ascii="Times New Roman" w:hAnsi="Times New Roman" w:cs="Times New Roman"/>
          <w:sz w:val="24"/>
          <w:szCs w:val="24"/>
        </w:rPr>
        <w:t>L</w:t>
      </w:r>
      <w:r w:rsidR="000556D4" w:rsidRPr="0030006E">
        <w:rPr>
          <w:rFonts w:ascii="Times New Roman" w:hAnsi="Times New Roman" w:cs="Times New Roman"/>
          <w:sz w:val="24"/>
          <w:szCs w:val="24"/>
        </w:rPr>
        <w:t xml:space="preserve">a otredad sobra, molesta, perturba. </w:t>
      </w:r>
    </w:p>
    <w:p w14:paraId="1C7E417C" w14:textId="77777777" w:rsidR="00B977CD" w:rsidRPr="0030006E" w:rsidRDefault="00B977CD" w:rsidP="0030006E">
      <w:pPr>
        <w:spacing w:before="240" w:line="360" w:lineRule="auto"/>
        <w:jc w:val="both"/>
        <w:rPr>
          <w:rFonts w:ascii="Times New Roman" w:hAnsi="Times New Roman" w:cs="Times New Roman"/>
          <w:sz w:val="24"/>
          <w:szCs w:val="24"/>
        </w:rPr>
      </w:pPr>
      <w:r w:rsidRPr="0030006E">
        <w:rPr>
          <w:rFonts w:ascii="Times New Roman" w:hAnsi="Times New Roman" w:cs="Times New Roman"/>
          <w:sz w:val="24"/>
          <w:szCs w:val="24"/>
        </w:rPr>
        <w:t xml:space="preserve">     </w:t>
      </w:r>
      <w:r w:rsidR="00AA3F12" w:rsidRPr="0030006E">
        <w:rPr>
          <w:rFonts w:ascii="Times New Roman" w:hAnsi="Times New Roman" w:cs="Times New Roman"/>
          <w:sz w:val="24"/>
          <w:szCs w:val="24"/>
        </w:rPr>
        <w:t>Así es que, s</w:t>
      </w:r>
      <w:r w:rsidR="000556D4" w:rsidRPr="0030006E">
        <w:rPr>
          <w:rFonts w:ascii="Times New Roman" w:hAnsi="Times New Roman" w:cs="Times New Roman"/>
          <w:sz w:val="24"/>
          <w:szCs w:val="24"/>
        </w:rPr>
        <w:t xml:space="preserve">e reemplaza el colonialismo externo por un colonialismo interno, encabezado por las élites </w:t>
      </w:r>
      <w:r w:rsidR="00F876AB" w:rsidRPr="0030006E">
        <w:rPr>
          <w:rFonts w:ascii="Times New Roman" w:hAnsi="Times New Roman" w:cs="Times New Roman"/>
          <w:sz w:val="24"/>
          <w:szCs w:val="24"/>
        </w:rPr>
        <w:t>nacionales que suplantan a los E</w:t>
      </w:r>
      <w:r w:rsidR="000556D4" w:rsidRPr="0030006E">
        <w:rPr>
          <w:rFonts w:ascii="Times New Roman" w:hAnsi="Times New Roman" w:cs="Times New Roman"/>
          <w:sz w:val="24"/>
          <w:szCs w:val="24"/>
        </w:rPr>
        <w:t xml:space="preserve">stados europeos pero cumplen la misma función: una actividad de exclusión agresiva y compulsiva; la subordinación y dominación de las mayorías por parte de las minorías ilustradas y capaces. </w:t>
      </w:r>
    </w:p>
    <w:p w14:paraId="32A3012C" w14:textId="77777777" w:rsidR="000556D4" w:rsidRPr="0030006E" w:rsidRDefault="00B977CD" w:rsidP="0030006E">
      <w:pPr>
        <w:spacing w:before="240" w:line="360" w:lineRule="auto"/>
        <w:jc w:val="both"/>
        <w:rPr>
          <w:rFonts w:ascii="Times New Roman" w:hAnsi="Times New Roman" w:cs="Times New Roman"/>
          <w:sz w:val="24"/>
          <w:szCs w:val="24"/>
        </w:rPr>
      </w:pPr>
      <w:r w:rsidRPr="0030006E">
        <w:rPr>
          <w:rFonts w:ascii="Times New Roman" w:hAnsi="Times New Roman" w:cs="Times New Roman"/>
          <w:sz w:val="24"/>
          <w:szCs w:val="24"/>
        </w:rPr>
        <w:t xml:space="preserve">     </w:t>
      </w:r>
      <w:r w:rsidR="000556D4" w:rsidRPr="0030006E">
        <w:rPr>
          <w:rFonts w:ascii="Times New Roman" w:hAnsi="Times New Roman" w:cs="Times New Roman"/>
          <w:sz w:val="24"/>
          <w:szCs w:val="24"/>
        </w:rPr>
        <w:t>La elaboración de un cuerp</w:t>
      </w:r>
      <w:r w:rsidR="00377523" w:rsidRPr="0030006E">
        <w:rPr>
          <w:rFonts w:ascii="Times New Roman" w:hAnsi="Times New Roman" w:cs="Times New Roman"/>
          <w:sz w:val="24"/>
          <w:szCs w:val="24"/>
        </w:rPr>
        <w:t>o jurídico nacional que regule la mayor cantidad de</w:t>
      </w:r>
      <w:r w:rsidR="000556D4" w:rsidRPr="0030006E">
        <w:rPr>
          <w:rFonts w:ascii="Times New Roman" w:hAnsi="Times New Roman" w:cs="Times New Roman"/>
          <w:sz w:val="24"/>
          <w:szCs w:val="24"/>
        </w:rPr>
        <w:t xml:space="preserve"> relaciones sociales fronteras adentro</w:t>
      </w:r>
      <w:r w:rsidR="009C19DF" w:rsidRPr="0030006E">
        <w:rPr>
          <w:rFonts w:ascii="Times New Roman" w:hAnsi="Times New Roman" w:cs="Times New Roman"/>
          <w:sz w:val="24"/>
          <w:szCs w:val="24"/>
        </w:rPr>
        <w:t>,</w:t>
      </w:r>
      <w:r w:rsidR="000556D4" w:rsidRPr="0030006E">
        <w:rPr>
          <w:rFonts w:ascii="Times New Roman" w:hAnsi="Times New Roman" w:cs="Times New Roman"/>
          <w:sz w:val="24"/>
          <w:szCs w:val="24"/>
        </w:rPr>
        <w:t xml:space="preserve"> </w:t>
      </w:r>
      <w:r w:rsidR="009C19DF" w:rsidRPr="0030006E">
        <w:rPr>
          <w:rFonts w:ascii="Times New Roman" w:hAnsi="Times New Roman" w:cs="Times New Roman"/>
          <w:sz w:val="24"/>
          <w:szCs w:val="24"/>
        </w:rPr>
        <w:t>será</w:t>
      </w:r>
      <w:r w:rsidR="000556D4" w:rsidRPr="0030006E">
        <w:rPr>
          <w:rFonts w:ascii="Times New Roman" w:hAnsi="Times New Roman" w:cs="Times New Roman"/>
          <w:sz w:val="24"/>
          <w:szCs w:val="24"/>
        </w:rPr>
        <w:t xml:space="preserve"> clave para proteger la homogeneidad ficticia creada y mantener a las mismas c</w:t>
      </w:r>
      <w:r w:rsidR="00273703" w:rsidRPr="0030006E">
        <w:rPr>
          <w:rFonts w:ascii="Times New Roman" w:hAnsi="Times New Roman" w:cs="Times New Roman"/>
          <w:sz w:val="24"/>
          <w:szCs w:val="24"/>
        </w:rPr>
        <w:t xml:space="preserve">lases e individuos en el poder. Como lo menciona Boaventura de Sousa </w:t>
      </w:r>
      <w:r w:rsidRPr="0030006E">
        <w:rPr>
          <w:rFonts w:ascii="Times New Roman" w:hAnsi="Times New Roman" w:cs="Times New Roman"/>
          <w:sz w:val="24"/>
          <w:szCs w:val="24"/>
        </w:rPr>
        <w:t>Santos (2007</w:t>
      </w:r>
      <w:r w:rsidR="00273703" w:rsidRPr="0030006E">
        <w:rPr>
          <w:rFonts w:ascii="Times New Roman" w:hAnsi="Times New Roman" w:cs="Times New Roman"/>
          <w:sz w:val="24"/>
          <w:szCs w:val="24"/>
        </w:rPr>
        <w:t xml:space="preserve">) </w:t>
      </w:r>
      <w:r w:rsidR="000556D4" w:rsidRPr="0030006E">
        <w:rPr>
          <w:rFonts w:ascii="Times New Roman" w:hAnsi="Times New Roman" w:cs="Times New Roman"/>
          <w:sz w:val="24"/>
          <w:szCs w:val="24"/>
        </w:rPr>
        <w:t>“En todas sus características, el constitucionalismo moderno quiere ser monocultural. Los conceptos fundamentales del constitucionalismo moderno son los de soberanía popular y homogeneidad del pueblo (es decir, el pueblo es homogéneo)”</w:t>
      </w:r>
      <w:r w:rsidR="000556D4" w:rsidRPr="0030006E">
        <w:rPr>
          <w:rStyle w:val="FootnoteReference"/>
          <w:rFonts w:ascii="Times New Roman" w:hAnsi="Times New Roman" w:cs="Times New Roman"/>
          <w:sz w:val="24"/>
          <w:szCs w:val="24"/>
        </w:rPr>
        <w:footnoteReference w:id="1"/>
      </w:r>
      <w:r w:rsidR="00273703" w:rsidRPr="0030006E">
        <w:rPr>
          <w:rFonts w:ascii="Times New Roman" w:hAnsi="Times New Roman" w:cs="Times New Roman"/>
          <w:sz w:val="24"/>
          <w:szCs w:val="24"/>
        </w:rPr>
        <w:t xml:space="preserve"> (p.10)</w:t>
      </w:r>
      <w:r w:rsidR="00F723E6" w:rsidRPr="0030006E">
        <w:rPr>
          <w:rFonts w:ascii="Times New Roman" w:hAnsi="Times New Roman" w:cs="Times New Roman"/>
          <w:sz w:val="24"/>
          <w:szCs w:val="24"/>
        </w:rPr>
        <w:t>.</w:t>
      </w:r>
    </w:p>
    <w:p w14:paraId="3270C7A2" w14:textId="77777777" w:rsidR="000556D4" w:rsidRPr="0030006E" w:rsidRDefault="00B977CD" w:rsidP="0030006E">
      <w:pPr>
        <w:spacing w:line="360" w:lineRule="auto"/>
        <w:jc w:val="both"/>
        <w:rPr>
          <w:rFonts w:ascii="Times New Roman" w:hAnsi="Times New Roman" w:cs="Times New Roman"/>
          <w:sz w:val="24"/>
          <w:szCs w:val="24"/>
        </w:rPr>
      </w:pPr>
      <w:r w:rsidRPr="0030006E">
        <w:rPr>
          <w:rFonts w:ascii="Times New Roman" w:hAnsi="Times New Roman" w:cs="Times New Roman"/>
          <w:sz w:val="24"/>
          <w:szCs w:val="24"/>
        </w:rPr>
        <w:lastRenderedPageBreak/>
        <w:t xml:space="preserve">     </w:t>
      </w:r>
      <w:r w:rsidR="000556D4" w:rsidRPr="0030006E">
        <w:rPr>
          <w:rFonts w:ascii="Times New Roman" w:hAnsi="Times New Roman" w:cs="Times New Roman"/>
          <w:sz w:val="24"/>
          <w:szCs w:val="24"/>
        </w:rPr>
        <w:t xml:space="preserve">Así es que transcurre, con sus diferencias y similitudes, los años y escasas décadas de vida de los Estados-nación latinoamericanos. Desde su surgimiento en años del siglo XIX, hasta el presente poseemos, construimos e incentivamos </w:t>
      </w:r>
      <w:r w:rsidR="002A3188" w:rsidRPr="0030006E">
        <w:rPr>
          <w:rFonts w:ascii="Times New Roman" w:hAnsi="Times New Roman" w:cs="Times New Roman"/>
          <w:sz w:val="24"/>
          <w:szCs w:val="24"/>
        </w:rPr>
        <w:t>los mismos discursos</w:t>
      </w:r>
      <w:r w:rsidR="000556D4" w:rsidRPr="0030006E">
        <w:rPr>
          <w:rFonts w:ascii="Times New Roman" w:hAnsi="Times New Roman" w:cs="Times New Roman"/>
          <w:sz w:val="24"/>
          <w:szCs w:val="24"/>
        </w:rPr>
        <w:t xml:space="preserve">. Quizá, la causa radica en las personas y sectores que llegan y </w:t>
      </w:r>
      <w:r w:rsidR="00C87E0C" w:rsidRPr="0030006E">
        <w:rPr>
          <w:rFonts w:ascii="Times New Roman" w:hAnsi="Times New Roman" w:cs="Times New Roman"/>
          <w:sz w:val="24"/>
          <w:szCs w:val="24"/>
        </w:rPr>
        <w:t>lo comandan</w:t>
      </w:r>
      <w:r w:rsidR="000556D4" w:rsidRPr="0030006E">
        <w:rPr>
          <w:rFonts w:ascii="Times New Roman" w:hAnsi="Times New Roman" w:cs="Times New Roman"/>
          <w:sz w:val="24"/>
          <w:szCs w:val="24"/>
        </w:rPr>
        <w:t xml:space="preserve">: los sectores fundadores de los Estados, son los sectores que siguen en el mismo lugar, fermentando e ideando el mismo molde y patrón de poder. </w:t>
      </w:r>
    </w:p>
    <w:p w14:paraId="2BA752BE" w14:textId="77777777" w:rsidR="00A12A3F" w:rsidRPr="0030006E" w:rsidRDefault="00B977CD" w:rsidP="0030006E">
      <w:pPr>
        <w:spacing w:line="360" w:lineRule="auto"/>
        <w:jc w:val="both"/>
        <w:rPr>
          <w:rFonts w:ascii="Times New Roman" w:hAnsi="Times New Roman" w:cs="Times New Roman"/>
          <w:sz w:val="24"/>
          <w:szCs w:val="24"/>
        </w:rPr>
      </w:pPr>
      <w:r w:rsidRPr="0030006E">
        <w:rPr>
          <w:rFonts w:ascii="Times New Roman" w:hAnsi="Times New Roman" w:cs="Times New Roman"/>
          <w:sz w:val="24"/>
          <w:szCs w:val="24"/>
        </w:rPr>
        <w:t xml:space="preserve">     </w:t>
      </w:r>
      <w:r w:rsidR="00AE2B87" w:rsidRPr="0030006E">
        <w:rPr>
          <w:rFonts w:ascii="Times New Roman" w:hAnsi="Times New Roman" w:cs="Times New Roman"/>
          <w:sz w:val="24"/>
          <w:szCs w:val="24"/>
        </w:rPr>
        <w:t xml:space="preserve">Todas y cada una de las letras previas nos permiten </w:t>
      </w:r>
      <w:r w:rsidR="000A3B73" w:rsidRPr="0030006E">
        <w:rPr>
          <w:rFonts w:ascii="Times New Roman" w:hAnsi="Times New Roman" w:cs="Times New Roman"/>
          <w:sz w:val="24"/>
          <w:szCs w:val="24"/>
        </w:rPr>
        <w:t>elaborar una construcción histórica que intente brindar luz a la problematización de la existencia de los dos procesos penales que analizaremos a continuación.</w:t>
      </w:r>
      <w:r w:rsidR="0010344E" w:rsidRPr="0030006E">
        <w:rPr>
          <w:rFonts w:ascii="Times New Roman" w:hAnsi="Times New Roman" w:cs="Times New Roman"/>
          <w:sz w:val="24"/>
          <w:szCs w:val="24"/>
        </w:rPr>
        <w:t xml:space="preserve"> </w:t>
      </w:r>
      <w:r w:rsidR="00AE2B87" w:rsidRPr="0030006E">
        <w:rPr>
          <w:rFonts w:ascii="Times New Roman" w:hAnsi="Times New Roman" w:cs="Times New Roman"/>
          <w:sz w:val="24"/>
          <w:szCs w:val="24"/>
        </w:rPr>
        <w:t xml:space="preserve"> </w:t>
      </w:r>
      <w:r w:rsidR="0010344E" w:rsidRPr="0030006E">
        <w:rPr>
          <w:rFonts w:ascii="Times New Roman" w:hAnsi="Times New Roman" w:cs="Times New Roman"/>
          <w:sz w:val="24"/>
          <w:szCs w:val="24"/>
        </w:rPr>
        <w:t>L</w:t>
      </w:r>
      <w:r w:rsidR="00AE2B87" w:rsidRPr="0030006E">
        <w:rPr>
          <w:rFonts w:ascii="Times New Roman" w:hAnsi="Times New Roman" w:cs="Times New Roman"/>
          <w:sz w:val="24"/>
          <w:szCs w:val="24"/>
        </w:rPr>
        <w:t xml:space="preserve">a necesidad de </w:t>
      </w:r>
      <w:r w:rsidR="0010344E" w:rsidRPr="0030006E">
        <w:rPr>
          <w:rFonts w:ascii="Times New Roman" w:hAnsi="Times New Roman" w:cs="Times New Roman"/>
          <w:sz w:val="24"/>
          <w:szCs w:val="24"/>
        </w:rPr>
        <w:t xml:space="preserve">un </w:t>
      </w:r>
      <w:r w:rsidR="00AE2B87" w:rsidRPr="0030006E">
        <w:rPr>
          <w:rFonts w:ascii="Times New Roman" w:hAnsi="Times New Roman" w:cs="Times New Roman"/>
          <w:sz w:val="24"/>
          <w:szCs w:val="24"/>
        </w:rPr>
        <w:t>otro que me permita conformarme como clase dominante, acceder a tal poder, perpetuarme y le</w:t>
      </w:r>
      <w:r w:rsidR="0010344E" w:rsidRPr="0030006E">
        <w:rPr>
          <w:rFonts w:ascii="Times New Roman" w:hAnsi="Times New Roman" w:cs="Times New Roman"/>
          <w:sz w:val="24"/>
          <w:szCs w:val="24"/>
        </w:rPr>
        <w:t>gitimarme socialmente.</w:t>
      </w:r>
      <w:r w:rsidR="00AE2B87" w:rsidRPr="0030006E">
        <w:rPr>
          <w:rFonts w:ascii="Times New Roman" w:hAnsi="Times New Roman" w:cs="Times New Roman"/>
          <w:sz w:val="24"/>
          <w:szCs w:val="24"/>
        </w:rPr>
        <w:t xml:space="preserve"> </w:t>
      </w:r>
      <w:r w:rsidR="0010344E" w:rsidRPr="0030006E">
        <w:rPr>
          <w:rFonts w:ascii="Times New Roman" w:hAnsi="Times New Roman" w:cs="Times New Roman"/>
          <w:sz w:val="24"/>
          <w:szCs w:val="24"/>
        </w:rPr>
        <w:t>L</w:t>
      </w:r>
      <w:r w:rsidR="00AE2B87" w:rsidRPr="0030006E">
        <w:rPr>
          <w:rFonts w:ascii="Times New Roman" w:hAnsi="Times New Roman" w:cs="Times New Roman"/>
          <w:sz w:val="24"/>
          <w:szCs w:val="24"/>
        </w:rPr>
        <w:t>a categoría de raza como elemento estructural</w:t>
      </w:r>
      <w:r w:rsidR="007528C4" w:rsidRPr="0030006E">
        <w:rPr>
          <w:rFonts w:ascii="Times New Roman" w:hAnsi="Times New Roman" w:cs="Times New Roman"/>
          <w:sz w:val="24"/>
          <w:szCs w:val="24"/>
        </w:rPr>
        <w:t xml:space="preserve"> e</w:t>
      </w:r>
      <w:r w:rsidR="00AE2B87" w:rsidRPr="0030006E">
        <w:rPr>
          <w:rFonts w:ascii="Times New Roman" w:hAnsi="Times New Roman" w:cs="Times New Roman"/>
          <w:sz w:val="24"/>
          <w:szCs w:val="24"/>
        </w:rPr>
        <w:t xml:space="preserve"> histórico que atraviesa todas las visiones sustentadas a lo largo de los años, por los que ocupan los espacios de poder.</w:t>
      </w:r>
      <w:r w:rsidR="00937D01" w:rsidRPr="0030006E">
        <w:rPr>
          <w:rFonts w:ascii="Times New Roman" w:hAnsi="Times New Roman" w:cs="Times New Roman"/>
          <w:sz w:val="24"/>
          <w:szCs w:val="24"/>
        </w:rPr>
        <w:t xml:space="preserve"> </w:t>
      </w:r>
    </w:p>
    <w:p w14:paraId="4D1E020A" w14:textId="77777777" w:rsidR="00B977CD" w:rsidRPr="0030006E" w:rsidRDefault="00B977CD" w:rsidP="0030006E">
      <w:pPr>
        <w:spacing w:line="360" w:lineRule="auto"/>
        <w:jc w:val="both"/>
        <w:rPr>
          <w:rFonts w:ascii="Times New Roman" w:hAnsi="Times New Roman" w:cs="Times New Roman"/>
          <w:sz w:val="24"/>
          <w:szCs w:val="24"/>
        </w:rPr>
      </w:pPr>
      <w:r w:rsidRPr="0030006E">
        <w:rPr>
          <w:rFonts w:ascii="Times New Roman" w:hAnsi="Times New Roman" w:cs="Times New Roman"/>
          <w:sz w:val="24"/>
          <w:szCs w:val="24"/>
        </w:rPr>
        <w:t xml:space="preserve">     </w:t>
      </w:r>
      <w:r w:rsidR="00FA0CCC" w:rsidRPr="0030006E">
        <w:rPr>
          <w:rFonts w:ascii="Times New Roman" w:hAnsi="Times New Roman" w:cs="Times New Roman"/>
          <w:sz w:val="24"/>
          <w:szCs w:val="24"/>
        </w:rPr>
        <w:t>E</w:t>
      </w:r>
      <w:r w:rsidR="006037A3" w:rsidRPr="0030006E">
        <w:rPr>
          <w:rFonts w:ascii="Times New Roman" w:hAnsi="Times New Roman" w:cs="Times New Roman"/>
          <w:sz w:val="24"/>
          <w:szCs w:val="24"/>
        </w:rPr>
        <w:t>n el manejo del poder judicial, existe y se hace cuerpo una (re)producción de esta categoría de “Raza”, fundante de nuestros Estados latinos, al desembocar en el análisis del sujeto que persigue y del sujeto que es perseguido.</w:t>
      </w:r>
    </w:p>
    <w:p w14:paraId="13410A42" w14:textId="77777777" w:rsidR="000914FC" w:rsidRPr="0030006E" w:rsidRDefault="000914FC" w:rsidP="0030006E">
      <w:pPr>
        <w:pStyle w:val="ListParagraph"/>
        <w:numPr>
          <w:ilvl w:val="0"/>
          <w:numId w:val="2"/>
        </w:numPr>
        <w:spacing w:line="360" w:lineRule="auto"/>
        <w:jc w:val="both"/>
        <w:rPr>
          <w:rFonts w:ascii="Times New Roman" w:hAnsi="Times New Roman" w:cs="Times New Roman"/>
          <w:b/>
          <w:bCs/>
          <w:sz w:val="24"/>
          <w:szCs w:val="24"/>
        </w:rPr>
      </w:pPr>
      <w:r w:rsidRPr="0030006E">
        <w:rPr>
          <w:rFonts w:ascii="Times New Roman" w:hAnsi="Times New Roman" w:cs="Times New Roman"/>
          <w:b/>
          <w:bCs/>
          <w:sz w:val="24"/>
          <w:szCs w:val="24"/>
        </w:rPr>
        <w:t>La persecución de la pobreza</w:t>
      </w:r>
    </w:p>
    <w:p w14:paraId="41334A89" w14:textId="77777777" w:rsidR="004F36BD" w:rsidRPr="0030006E" w:rsidRDefault="004F36BD" w:rsidP="0030006E">
      <w:pPr>
        <w:pStyle w:val="ListParagraph"/>
        <w:spacing w:line="360" w:lineRule="auto"/>
        <w:ind w:left="1080"/>
        <w:jc w:val="both"/>
        <w:rPr>
          <w:rFonts w:ascii="Times New Roman" w:hAnsi="Times New Roman" w:cs="Times New Roman"/>
          <w:sz w:val="24"/>
          <w:szCs w:val="24"/>
        </w:rPr>
      </w:pPr>
    </w:p>
    <w:p w14:paraId="67BF4B53" w14:textId="77777777" w:rsidR="004F36BD" w:rsidRPr="0030006E" w:rsidRDefault="00376E1A" w:rsidP="0030006E">
      <w:pPr>
        <w:pStyle w:val="ListParagraph"/>
        <w:numPr>
          <w:ilvl w:val="0"/>
          <w:numId w:val="3"/>
        </w:numPr>
        <w:spacing w:line="360" w:lineRule="auto"/>
        <w:jc w:val="both"/>
        <w:rPr>
          <w:rFonts w:ascii="Times New Roman" w:hAnsi="Times New Roman" w:cs="Times New Roman"/>
          <w:b/>
          <w:bCs/>
          <w:sz w:val="24"/>
          <w:szCs w:val="24"/>
        </w:rPr>
      </w:pPr>
      <w:r w:rsidRPr="0030006E">
        <w:rPr>
          <w:rFonts w:ascii="Times New Roman" w:hAnsi="Times New Roman" w:cs="Times New Roman"/>
          <w:b/>
          <w:bCs/>
          <w:sz w:val="24"/>
          <w:szCs w:val="24"/>
        </w:rPr>
        <w:t>Dime dónde has nacido, y te diré qué eres</w:t>
      </w:r>
      <w:r w:rsidR="004F36BD" w:rsidRPr="0030006E">
        <w:rPr>
          <w:rFonts w:ascii="Times New Roman" w:hAnsi="Times New Roman" w:cs="Times New Roman"/>
          <w:b/>
          <w:bCs/>
          <w:sz w:val="24"/>
          <w:szCs w:val="24"/>
        </w:rPr>
        <w:t>.</w:t>
      </w:r>
    </w:p>
    <w:p w14:paraId="30B99C06" w14:textId="77777777" w:rsidR="0047026A" w:rsidRPr="0030006E" w:rsidRDefault="005A38FF" w:rsidP="0030006E">
      <w:pPr>
        <w:spacing w:line="360" w:lineRule="auto"/>
        <w:jc w:val="both"/>
        <w:rPr>
          <w:rFonts w:ascii="Times New Roman" w:hAnsi="Times New Roman" w:cs="Times New Roman"/>
          <w:bCs/>
          <w:sz w:val="24"/>
          <w:szCs w:val="24"/>
        </w:rPr>
      </w:pPr>
      <w:r w:rsidRPr="0030006E">
        <w:rPr>
          <w:rFonts w:ascii="Times New Roman" w:hAnsi="Times New Roman" w:cs="Times New Roman"/>
          <w:bCs/>
          <w:sz w:val="24"/>
          <w:szCs w:val="24"/>
        </w:rPr>
        <w:t xml:space="preserve">     </w:t>
      </w:r>
      <w:r w:rsidR="005E0C64" w:rsidRPr="0030006E">
        <w:rPr>
          <w:rFonts w:ascii="Times New Roman" w:hAnsi="Times New Roman" w:cs="Times New Roman"/>
          <w:bCs/>
          <w:sz w:val="24"/>
          <w:szCs w:val="24"/>
        </w:rPr>
        <w:t>Susana</w:t>
      </w:r>
      <w:r w:rsidR="005E0C64" w:rsidRPr="0030006E">
        <w:rPr>
          <w:rStyle w:val="FootnoteReference"/>
          <w:rFonts w:ascii="Times New Roman" w:hAnsi="Times New Roman" w:cs="Times New Roman"/>
          <w:bCs/>
          <w:sz w:val="24"/>
          <w:szCs w:val="24"/>
        </w:rPr>
        <w:footnoteReference w:id="2"/>
      </w:r>
      <w:r w:rsidR="0047026A" w:rsidRPr="0030006E">
        <w:rPr>
          <w:rFonts w:ascii="Times New Roman" w:hAnsi="Times New Roman" w:cs="Times New Roman"/>
          <w:bCs/>
          <w:sz w:val="24"/>
          <w:szCs w:val="24"/>
        </w:rPr>
        <w:t xml:space="preserve"> es una mujer con una fuerza, coraje y valentía </w:t>
      </w:r>
      <w:r w:rsidR="00187D2C" w:rsidRPr="0030006E">
        <w:rPr>
          <w:rFonts w:ascii="Times New Roman" w:hAnsi="Times New Roman" w:cs="Times New Roman"/>
          <w:bCs/>
          <w:sz w:val="24"/>
          <w:szCs w:val="24"/>
        </w:rPr>
        <w:t>que impacta</w:t>
      </w:r>
      <w:r w:rsidR="0047026A" w:rsidRPr="0030006E">
        <w:rPr>
          <w:rFonts w:ascii="Times New Roman" w:hAnsi="Times New Roman" w:cs="Times New Roman"/>
          <w:bCs/>
          <w:sz w:val="24"/>
          <w:szCs w:val="24"/>
        </w:rPr>
        <w:t xml:space="preserve">. Aquel día de julio del año 2013, su hijo, </w:t>
      </w:r>
      <w:r w:rsidR="005E0C64" w:rsidRPr="0030006E">
        <w:rPr>
          <w:rFonts w:ascii="Times New Roman" w:hAnsi="Times New Roman" w:cs="Times New Roman"/>
          <w:bCs/>
          <w:sz w:val="24"/>
          <w:szCs w:val="24"/>
        </w:rPr>
        <w:t>Emanuel Silva</w:t>
      </w:r>
      <w:r w:rsidR="00187D2C" w:rsidRPr="0030006E">
        <w:rPr>
          <w:rFonts w:ascii="Times New Roman" w:hAnsi="Times New Roman" w:cs="Times New Roman"/>
          <w:bCs/>
          <w:sz w:val="24"/>
          <w:szCs w:val="24"/>
        </w:rPr>
        <w:t>, le insistía con que lo dejara</w:t>
      </w:r>
      <w:r w:rsidR="0047026A" w:rsidRPr="0030006E">
        <w:rPr>
          <w:rFonts w:ascii="Times New Roman" w:hAnsi="Times New Roman" w:cs="Times New Roman"/>
          <w:bCs/>
          <w:sz w:val="24"/>
          <w:szCs w:val="24"/>
        </w:rPr>
        <w:t xml:space="preserve"> salir al quiosco a comprar un alfajor. Salió con monedas en un bolsillo y su documento de identidad en el otro.</w:t>
      </w:r>
      <w:r w:rsidR="00B076C7" w:rsidRPr="0030006E">
        <w:rPr>
          <w:rFonts w:ascii="Times New Roman" w:hAnsi="Times New Roman" w:cs="Times New Roman"/>
          <w:bCs/>
          <w:sz w:val="24"/>
          <w:szCs w:val="24"/>
        </w:rPr>
        <w:t xml:space="preserve"> Pasaban los minutos y las horas y </w:t>
      </w:r>
      <w:r w:rsidR="0094010F" w:rsidRPr="0030006E">
        <w:rPr>
          <w:rFonts w:ascii="Times New Roman" w:hAnsi="Times New Roman" w:cs="Times New Roman"/>
          <w:bCs/>
          <w:sz w:val="24"/>
          <w:szCs w:val="24"/>
        </w:rPr>
        <w:t>Emanuel</w:t>
      </w:r>
      <w:r w:rsidR="00B076C7" w:rsidRPr="0030006E">
        <w:rPr>
          <w:rFonts w:ascii="Times New Roman" w:hAnsi="Times New Roman" w:cs="Times New Roman"/>
          <w:bCs/>
          <w:sz w:val="24"/>
          <w:szCs w:val="24"/>
        </w:rPr>
        <w:t xml:space="preserve"> no regresaba. </w:t>
      </w:r>
      <w:r w:rsidR="0094010F" w:rsidRPr="0030006E">
        <w:rPr>
          <w:rFonts w:ascii="Times New Roman" w:hAnsi="Times New Roman" w:cs="Times New Roman"/>
          <w:bCs/>
          <w:sz w:val="24"/>
          <w:szCs w:val="24"/>
        </w:rPr>
        <w:t>Susan</w:t>
      </w:r>
      <w:r w:rsidR="00B076C7" w:rsidRPr="0030006E">
        <w:rPr>
          <w:rFonts w:ascii="Times New Roman" w:hAnsi="Times New Roman" w:cs="Times New Roman"/>
          <w:bCs/>
          <w:sz w:val="24"/>
          <w:szCs w:val="24"/>
        </w:rPr>
        <w:t>a lo encontró en un hospital público a medianoche con rastros de sangre en toda su ropa fruto de una bala disparada por la policía que le rozó el cráne</w:t>
      </w:r>
      <w:r w:rsidR="001E4261" w:rsidRPr="0030006E">
        <w:rPr>
          <w:rFonts w:ascii="Times New Roman" w:hAnsi="Times New Roman" w:cs="Times New Roman"/>
          <w:bCs/>
          <w:sz w:val="24"/>
          <w:szCs w:val="24"/>
        </w:rPr>
        <w:t>o. De ahí, se lo trasladó al Servicio Penitenciario Bonaerense</w:t>
      </w:r>
      <w:r w:rsidR="006963EB" w:rsidRPr="0030006E">
        <w:rPr>
          <w:rFonts w:ascii="Times New Roman" w:hAnsi="Times New Roman" w:cs="Times New Roman"/>
          <w:bCs/>
          <w:sz w:val="24"/>
          <w:szCs w:val="24"/>
        </w:rPr>
        <w:t xml:space="preserve"> (SPB)</w:t>
      </w:r>
      <w:r w:rsidR="001E4261" w:rsidRPr="0030006E">
        <w:rPr>
          <w:rFonts w:ascii="Times New Roman" w:hAnsi="Times New Roman" w:cs="Times New Roman"/>
          <w:bCs/>
          <w:sz w:val="24"/>
          <w:szCs w:val="24"/>
        </w:rPr>
        <w:t>, institución que lo alberga desde ese momento</w:t>
      </w:r>
      <w:r w:rsidR="00CF634A" w:rsidRPr="0030006E">
        <w:rPr>
          <w:rFonts w:ascii="Times New Roman" w:hAnsi="Times New Roman" w:cs="Times New Roman"/>
          <w:bCs/>
          <w:sz w:val="24"/>
          <w:szCs w:val="24"/>
        </w:rPr>
        <w:t xml:space="preserve"> hasta hoy, amparado en la famosa y</w:t>
      </w:r>
      <w:r w:rsidR="001E4261" w:rsidRPr="0030006E">
        <w:rPr>
          <w:rFonts w:ascii="Times New Roman" w:hAnsi="Times New Roman" w:cs="Times New Roman"/>
          <w:bCs/>
          <w:sz w:val="24"/>
          <w:szCs w:val="24"/>
        </w:rPr>
        <w:t xml:space="preserve"> polémica figura de la prisión preventiva</w:t>
      </w:r>
      <w:r w:rsidR="001B52C1" w:rsidRPr="0030006E">
        <w:rPr>
          <w:rStyle w:val="FootnoteReference"/>
          <w:rFonts w:ascii="Times New Roman" w:hAnsi="Times New Roman" w:cs="Times New Roman"/>
          <w:bCs/>
          <w:sz w:val="24"/>
          <w:szCs w:val="24"/>
        </w:rPr>
        <w:footnoteReference w:id="3"/>
      </w:r>
      <w:r w:rsidR="001E4261" w:rsidRPr="0030006E">
        <w:rPr>
          <w:rFonts w:ascii="Times New Roman" w:hAnsi="Times New Roman" w:cs="Times New Roman"/>
          <w:bCs/>
          <w:sz w:val="24"/>
          <w:szCs w:val="24"/>
        </w:rPr>
        <w:t>.</w:t>
      </w:r>
    </w:p>
    <w:p w14:paraId="5BA36918" w14:textId="77777777" w:rsidR="005A38FF" w:rsidRPr="0030006E" w:rsidRDefault="005A38FF" w:rsidP="0030006E">
      <w:pPr>
        <w:spacing w:line="360" w:lineRule="auto"/>
        <w:jc w:val="both"/>
        <w:rPr>
          <w:rFonts w:ascii="Times New Roman" w:hAnsi="Times New Roman" w:cs="Times New Roman"/>
          <w:bCs/>
          <w:sz w:val="24"/>
          <w:szCs w:val="24"/>
        </w:rPr>
      </w:pPr>
      <w:r w:rsidRPr="0030006E">
        <w:rPr>
          <w:rFonts w:ascii="Times New Roman" w:hAnsi="Times New Roman" w:cs="Times New Roman"/>
          <w:bCs/>
          <w:sz w:val="24"/>
          <w:szCs w:val="24"/>
        </w:rPr>
        <w:lastRenderedPageBreak/>
        <w:t xml:space="preserve">     </w:t>
      </w:r>
      <w:r w:rsidR="0094010F" w:rsidRPr="0030006E">
        <w:rPr>
          <w:rFonts w:ascii="Times New Roman" w:hAnsi="Times New Roman" w:cs="Times New Roman"/>
          <w:bCs/>
          <w:sz w:val="24"/>
          <w:szCs w:val="24"/>
        </w:rPr>
        <w:t>Emanuel</w:t>
      </w:r>
      <w:r w:rsidR="00187D2C" w:rsidRPr="0030006E">
        <w:rPr>
          <w:rFonts w:ascii="Times New Roman" w:hAnsi="Times New Roman" w:cs="Times New Roman"/>
          <w:bCs/>
          <w:sz w:val="24"/>
          <w:szCs w:val="24"/>
        </w:rPr>
        <w:t xml:space="preserve"> nació con una enfermedad que afecta su capacidad psicológica: Trisonía 9, la cual le representa un retraso mental y madurativo. Varios estudios neurológicos le han determinado que su capacidad de entendimiento es semejante a la de un niño de 7 años de ed</w:t>
      </w:r>
      <w:r w:rsidR="00CB53F5" w:rsidRPr="0030006E">
        <w:rPr>
          <w:rFonts w:ascii="Times New Roman" w:hAnsi="Times New Roman" w:cs="Times New Roman"/>
          <w:bCs/>
          <w:sz w:val="24"/>
          <w:szCs w:val="24"/>
        </w:rPr>
        <w:t>ad, aunque su edad biológica es</w:t>
      </w:r>
      <w:r w:rsidR="00187D2C" w:rsidRPr="0030006E">
        <w:rPr>
          <w:rFonts w:ascii="Times New Roman" w:hAnsi="Times New Roman" w:cs="Times New Roman"/>
          <w:bCs/>
          <w:sz w:val="24"/>
          <w:szCs w:val="24"/>
        </w:rPr>
        <w:t xml:space="preserve"> de 27.  A su vez, fue intervenido quirúrgicamente de la columna por una escoliosis profunda que posee</w:t>
      </w:r>
      <w:r w:rsidR="00B27287" w:rsidRPr="0030006E">
        <w:rPr>
          <w:rFonts w:ascii="Times New Roman" w:hAnsi="Times New Roman" w:cs="Times New Roman"/>
          <w:bCs/>
          <w:sz w:val="24"/>
          <w:szCs w:val="24"/>
        </w:rPr>
        <w:t xml:space="preserve"> y otros problemas</w:t>
      </w:r>
      <w:r w:rsidR="00E91AAA" w:rsidRPr="0030006E">
        <w:rPr>
          <w:rFonts w:ascii="Times New Roman" w:hAnsi="Times New Roman" w:cs="Times New Roman"/>
          <w:bCs/>
          <w:sz w:val="24"/>
          <w:szCs w:val="24"/>
        </w:rPr>
        <w:t xml:space="preserve"> en vertebras y, a esto se suma</w:t>
      </w:r>
      <w:r w:rsidR="00B27287" w:rsidRPr="0030006E">
        <w:rPr>
          <w:rFonts w:ascii="Times New Roman" w:hAnsi="Times New Roman" w:cs="Times New Roman"/>
          <w:bCs/>
          <w:sz w:val="24"/>
          <w:szCs w:val="24"/>
        </w:rPr>
        <w:t>, los</w:t>
      </w:r>
      <w:r w:rsidR="00187D2C" w:rsidRPr="0030006E">
        <w:rPr>
          <w:rFonts w:ascii="Times New Roman" w:hAnsi="Times New Roman" w:cs="Times New Roman"/>
          <w:bCs/>
          <w:sz w:val="24"/>
          <w:szCs w:val="24"/>
        </w:rPr>
        <w:t xml:space="preserve"> problemas en un omóplato: si no toma la medicación correspondiente, el mismo le crece en desproporción con el resto de su organismo.</w:t>
      </w:r>
    </w:p>
    <w:p w14:paraId="2703B289" w14:textId="77777777" w:rsidR="00CB53F5" w:rsidRPr="0030006E" w:rsidRDefault="005A38FF" w:rsidP="0030006E">
      <w:pPr>
        <w:spacing w:line="360" w:lineRule="auto"/>
        <w:jc w:val="both"/>
        <w:rPr>
          <w:rFonts w:ascii="Times New Roman" w:hAnsi="Times New Roman" w:cs="Times New Roman"/>
          <w:bCs/>
          <w:sz w:val="24"/>
          <w:szCs w:val="24"/>
        </w:rPr>
      </w:pPr>
      <w:r w:rsidRPr="0030006E">
        <w:rPr>
          <w:rFonts w:ascii="Times New Roman" w:hAnsi="Times New Roman" w:cs="Times New Roman"/>
          <w:bCs/>
          <w:sz w:val="24"/>
          <w:szCs w:val="24"/>
        </w:rPr>
        <w:t xml:space="preserve">     </w:t>
      </w:r>
      <w:r w:rsidR="00187D2C" w:rsidRPr="0030006E">
        <w:rPr>
          <w:rFonts w:ascii="Times New Roman" w:hAnsi="Times New Roman" w:cs="Times New Roman"/>
          <w:bCs/>
          <w:sz w:val="24"/>
          <w:szCs w:val="24"/>
        </w:rPr>
        <w:t xml:space="preserve">Ese día de julio, </w:t>
      </w:r>
      <w:r w:rsidR="0094010F" w:rsidRPr="0030006E">
        <w:rPr>
          <w:rFonts w:ascii="Times New Roman" w:hAnsi="Times New Roman" w:cs="Times New Roman"/>
          <w:bCs/>
          <w:sz w:val="24"/>
          <w:szCs w:val="24"/>
        </w:rPr>
        <w:t>Emanuel</w:t>
      </w:r>
      <w:r w:rsidR="006303DA" w:rsidRPr="0030006E">
        <w:rPr>
          <w:rFonts w:ascii="Times New Roman" w:hAnsi="Times New Roman" w:cs="Times New Roman"/>
          <w:bCs/>
          <w:sz w:val="24"/>
          <w:szCs w:val="24"/>
        </w:rPr>
        <w:t xml:space="preserve"> </w:t>
      </w:r>
      <w:r w:rsidR="00187D2C" w:rsidRPr="0030006E">
        <w:rPr>
          <w:rFonts w:ascii="Times New Roman" w:hAnsi="Times New Roman" w:cs="Times New Roman"/>
          <w:bCs/>
          <w:sz w:val="24"/>
          <w:szCs w:val="24"/>
        </w:rPr>
        <w:t>fue seducido por una per</w:t>
      </w:r>
      <w:r w:rsidR="00CB53F5" w:rsidRPr="0030006E">
        <w:rPr>
          <w:rFonts w:ascii="Times New Roman" w:hAnsi="Times New Roman" w:cs="Times New Roman"/>
          <w:bCs/>
          <w:sz w:val="24"/>
          <w:szCs w:val="24"/>
        </w:rPr>
        <w:t xml:space="preserve">sona para realizar un asalto. </w:t>
      </w:r>
      <w:r w:rsidR="006336FD" w:rsidRPr="0030006E">
        <w:rPr>
          <w:rFonts w:ascii="Times New Roman" w:hAnsi="Times New Roman" w:cs="Times New Roman"/>
          <w:bCs/>
          <w:sz w:val="24"/>
          <w:szCs w:val="24"/>
        </w:rPr>
        <w:t>Se llev</w:t>
      </w:r>
      <w:r w:rsidR="006303DA" w:rsidRPr="0030006E">
        <w:rPr>
          <w:rFonts w:ascii="Times New Roman" w:hAnsi="Times New Roman" w:cs="Times New Roman"/>
          <w:bCs/>
          <w:sz w:val="24"/>
          <w:szCs w:val="24"/>
        </w:rPr>
        <w:t>ó</w:t>
      </w:r>
      <w:r w:rsidR="006336FD" w:rsidRPr="0030006E">
        <w:rPr>
          <w:rFonts w:ascii="Times New Roman" w:hAnsi="Times New Roman" w:cs="Times New Roman"/>
          <w:bCs/>
          <w:sz w:val="24"/>
          <w:szCs w:val="24"/>
        </w:rPr>
        <w:t xml:space="preserve"> a cabo</w:t>
      </w:r>
      <w:r w:rsidR="006303DA" w:rsidRPr="0030006E">
        <w:rPr>
          <w:rFonts w:ascii="Times New Roman" w:hAnsi="Times New Roman" w:cs="Times New Roman"/>
          <w:bCs/>
          <w:sz w:val="24"/>
          <w:szCs w:val="24"/>
        </w:rPr>
        <w:t xml:space="preserve"> </w:t>
      </w:r>
      <w:r w:rsidR="00187D2C" w:rsidRPr="0030006E">
        <w:rPr>
          <w:rFonts w:ascii="Times New Roman" w:hAnsi="Times New Roman" w:cs="Times New Roman"/>
          <w:bCs/>
          <w:sz w:val="24"/>
          <w:szCs w:val="24"/>
        </w:rPr>
        <w:t>en un supermercado de la localidad de San Martín, donde una pareja es tomada como rehén y, acto seguido,</w:t>
      </w:r>
      <w:r w:rsidR="005E2DC2" w:rsidRPr="0030006E">
        <w:rPr>
          <w:rFonts w:ascii="Times New Roman" w:hAnsi="Times New Roman" w:cs="Times New Roman"/>
          <w:bCs/>
          <w:sz w:val="24"/>
          <w:szCs w:val="24"/>
        </w:rPr>
        <w:t xml:space="preserve"> se produce una persecución policial. Como consecuencia de la misma, se comprueba mediante pericia balística el disparo de 22 tiros</w:t>
      </w:r>
      <w:r w:rsidR="00CB53F5" w:rsidRPr="0030006E">
        <w:rPr>
          <w:rFonts w:ascii="Times New Roman" w:hAnsi="Times New Roman" w:cs="Times New Roman"/>
          <w:bCs/>
          <w:sz w:val="24"/>
          <w:szCs w:val="24"/>
        </w:rPr>
        <w:t xml:space="preserve"> por parte de las fuerzas policiales</w:t>
      </w:r>
      <w:r w:rsidR="005E2DC2" w:rsidRPr="0030006E">
        <w:rPr>
          <w:rFonts w:ascii="Times New Roman" w:hAnsi="Times New Roman" w:cs="Times New Roman"/>
          <w:bCs/>
          <w:sz w:val="24"/>
          <w:szCs w:val="24"/>
        </w:rPr>
        <w:t xml:space="preserve">, uno de los cuales le impactó a </w:t>
      </w:r>
      <w:r w:rsidR="0094010F" w:rsidRPr="0030006E">
        <w:rPr>
          <w:rFonts w:ascii="Times New Roman" w:hAnsi="Times New Roman" w:cs="Times New Roman"/>
          <w:bCs/>
          <w:sz w:val="24"/>
          <w:szCs w:val="24"/>
        </w:rPr>
        <w:t xml:space="preserve">Emanuel </w:t>
      </w:r>
      <w:r w:rsidR="005E2DC2" w:rsidRPr="0030006E">
        <w:rPr>
          <w:rFonts w:ascii="Times New Roman" w:hAnsi="Times New Roman" w:cs="Times New Roman"/>
          <w:bCs/>
          <w:sz w:val="24"/>
          <w:szCs w:val="24"/>
        </w:rPr>
        <w:t xml:space="preserve">en la cabeza. </w:t>
      </w:r>
      <w:r w:rsidR="006303DA" w:rsidRPr="0030006E">
        <w:rPr>
          <w:rFonts w:ascii="Times New Roman" w:hAnsi="Times New Roman" w:cs="Times New Roman"/>
          <w:bCs/>
          <w:sz w:val="24"/>
          <w:szCs w:val="24"/>
        </w:rPr>
        <w:t xml:space="preserve">Los funcionarios policiales que </w:t>
      </w:r>
      <w:r w:rsidR="006336FD" w:rsidRPr="0030006E">
        <w:rPr>
          <w:rFonts w:ascii="Times New Roman" w:hAnsi="Times New Roman" w:cs="Times New Roman"/>
          <w:bCs/>
          <w:sz w:val="24"/>
          <w:szCs w:val="24"/>
        </w:rPr>
        <w:t>participaron de dicha situación,</w:t>
      </w:r>
      <w:r w:rsidR="00CB53F5" w:rsidRPr="0030006E">
        <w:rPr>
          <w:rFonts w:ascii="Times New Roman" w:hAnsi="Times New Roman" w:cs="Times New Roman"/>
          <w:bCs/>
          <w:sz w:val="24"/>
          <w:szCs w:val="24"/>
        </w:rPr>
        <w:t xml:space="preserve"> dur</w:t>
      </w:r>
      <w:r w:rsidR="006303DA" w:rsidRPr="0030006E">
        <w:rPr>
          <w:rFonts w:ascii="Times New Roman" w:hAnsi="Times New Roman" w:cs="Times New Roman"/>
          <w:bCs/>
          <w:sz w:val="24"/>
          <w:szCs w:val="24"/>
        </w:rPr>
        <w:t>ante el juicio oral sostuvieron que se trató de un enfrentamiento;</w:t>
      </w:r>
      <w:r w:rsidR="00CB53F5" w:rsidRPr="0030006E">
        <w:rPr>
          <w:rFonts w:ascii="Times New Roman" w:hAnsi="Times New Roman" w:cs="Times New Roman"/>
          <w:bCs/>
          <w:sz w:val="24"/>
          <w:szCs w:val="24"/>
        </w:rPr>
        <w:t xml:space="preserve"> que dispararon porque primero recibieron disparos del auto donde iba </w:t>
      </w:r>
      <w:r w:rsidR="0094010F" w:rsidRPr="0030006E">
        <w:rPr>
          <w:rFonts w:ascii="Times New Roman" w:hAnsi="Times New Roman" w:cs="Times New Roman"/>
          <w:bCs/>
          <w:sz w:val="24"/>
          <w:szCs w:val="24"/>
        </w:rPr>
        <w:t>Emanuel</w:t>
      </w:r>
      <w:r w:rsidR="00CB53F5" w:rsidRPr="0030006E">
        <w:rPr>
          <w:rFonts w:ascii="Times New Roman" w:hAnsi="Times New Roman" w:cs="Times New Roman"/>
          <w:bCs/>
          <w:sz w:val="24"/>
          <w:szCs w:val="24"/>
        </w:rPr>
        <w:t>, aunque las cámaras de seguridad del municipio demue</w:t>
      </w:r>
      <w:r w:rsidR="00294842" w:rsidRPr="0030006E">
        <w:rPr>
          <w:rFonts w:ascii="Times New Roman" w:hAnsi="Times New Roman" w:cs="Times New Roman"/>
          <w:bCs/>
          <w:sz w:val="24"/>
          <w:szCs w:val="24"/>
        </w:rPr>
        <w:t>stren con claridad que en todo</w:t>
      </w:r>
      <w:r w:rsidR="00CB53F5" w:rsidRPr="0030006E">
        <w:rPr>
          <w:rFonts w:ascii="Times New Roman" w:hAnsi="Times New Roman" w:cs="Times New Roman"/>
          <w:bCs/>
          <w:sz w:val="24"/>
          <w:szCs w:val="24"/>
        </w:rPr>
        <w:t xml:space="preserve"> momento el auto donde iban los rehenes</w:t>
      </w:r>
      <w:r w:rsidR="00294842" w:rsidRPr="0030006E">
        <w:rPr>
          <w:rFonts w:ascii="Times New Roman" w:hAnsi="Times New Roman" w:cs="Times New Roman"/>
          <w:bCs/>
          <w:sz w:val="24"/>
          <w:szCs w:val="24"/>
        </w:rPr>
        <w:t xml:space="preserve"> tuvo </w:t>
      </w:r>
      <w:r w:rsidR="006303DA" w:rsidRPr="0030006E">
        <w:rPr>
          <w:rFonts w:ascii="Times New Roman" w:hAnsi="Times New Roman" w:cs="Times New Roman"/>
          <w:bCs/>
          <w:sz w:val="24"/>
          <w:szCs w:val="24"/>
        </w:rPr>
        <w:t>los vidrios bajos</w:t>
      </w:r>
      <w:r w:rsidR="00671DFD" w:rsidRPr="0030006E">
        <w:rPr>
          <w:rFonts w:ascii="Times New Roman" w:hAnsi="Times New Roman" w:cs="Times New Roman"/>
          <w:bCs/>
          <w:sz w:val="24"/>
          <w:szCs w:val="24"/>
        </w:rPr>
        <w:t xml:space="preserve">, cayéndose la hipótesis sostenida por la imposibilidad de </w:t>
      </w:r>
      <w:r w:rsidR="006303DA" w:rsidRPr="0030006E">
        <w:rPr>
          <w:rFonts w:ascii="Times New Roman" w:hAnsi="Times New Roman" w:cs="Times New Roman"/>
          <w:bCs/>
          <w:sz w:val="24"/>
          <w:szCs w:val="24"/>
        </w:rPr>
        <w:t>disparar.</w:t>
      </w:r>
    </w:p>
    <w:p w14:paraId="53E4EC10" w14:textId="77777777" w:rsidR="005E2DC2" w:rsidRPr="0030006E" w:rsidRDefault="005A38FF" w:rsidP="0030006E">
      <w:pPr>
        <w:spacing w:line="360" w:lineRule="auto"/>
        <w:jc w:val="both"/>
        <w:rPr>
          <w:rFonts w:ascii="Times New Roman" w:hAnsi="Times New Roman" w:cs="Times New Roman"/>
          <w:bCs/>
          <w:sz w:val="24"/>
          <w:szCs w:val="24"/>
        </w:rPr>
      </w:pPr>
      <w:r w:rsidRPr="0030006E">
        <w:rPr>
          <w:rFonts w:ascii="Times New Roman" w:hAnsi="Times New Roman" w:cs="Times New Roman"/>
          <w:bCs/>
          <w:sz w:val="24"/>
          <w:szCs w:val="24"/>
        </w:rPr>
        <w:t xml:space="preserve">     </w:t>
      </w:r>
      <w:r w:rsidR="005E2DC2" w:rsidRPr="0030006E">
        <w:rPr>
          <w:rFonts w:ascii="Times New Roman" w:hAnsi="Times New Roman" w:cs="Times New Roman"/>
          <w:bCs/>
          <w:sz w:val="24"/>
          <w:szCs w:val="24"/>
        </w:rPr>
        <w:t xml:space="preserve">Pese a sus numerosos problemas de </w:t>
      </w:r>
      <w:r w:rsidR="0008293A" w:rsidRPr="0030006E">
        <w:rPr>
          <w:rFonts w:ascii="Times New Roman" w:hAnsi="Times New Roman" w:cs="Times New Roman"/>
          <w:bCs/>
          <w:sz w:val="24"/>
          <w:szCs w:val="24"/>
        </w:rPr>
        <w:t xml:space="preserve">salud, principalmente mentales, </w:t>
      </w:r>
      <w:r w:rsidR="00DB606C" w:rsidRPr="0030006E">
        <w:rPr>
          <w:rFonts w:ascii="Times New Roman" w:hAnsi="Times New Roman" w:cs="Times New Roman"/>
          <w:bCs/>
          <w:sz w:val="24"/>
          <w:szCs w:val="24"/>
        </w:rPr>
        <w:t xml:space="preserve">el Tribunal Criminal N°1 </w:t>
      </w:r>
      <w:r w:rsidR="00C25901" w:rsidRPr="0030006E">
        <w:rPr>
          <w:rFonts w:ascii="Times New Roman" w:hAnsi="Times New Roman" w:cs="Times New Roman"/>
          <w:bCs/>
          <w:sz w:val="24"/>
          <w:szCs w:val="24"/>
        </w:rPr>
        <w:t xml:space="preserve">del </w:t>
      </w:r>
      <w:r w:rsidR="005E2DC2" w:rsidRPr="0030006E">
        <w:rPr>
          <w:rFonts w:ascii="Times New Roman" w:hAnsi="Times New Roman" w:cs="Times New Roman"/>
          <w:bCs/>
          <w:sz w:val="24"/>
          <w:szCs w:val="24"/>
        </w:rPr>
        <w:t>d</w:t>
      </w:r>
      <w:r w:rsidR="00C25901" w:rsidRPr="0030006E">
        <w:rPr>
          <w:rFonts w:ascii="Times New Roman" w:hAnsi="Times New Roman" w:cs="Times New Roman"/>
          <w:bCs/>
          <w:sz w:val="24"/>
          <w:szCs w:val="24"/>
        </w:rPr>
        <w:t>epartamen</w:t>
      </w:r>
      <w:r w:rsidR="005E2DC2" w:rsidRPr="0030006E">
        <w:rPr>
          <w:rFonts w:ascii="Times New Roman" w:hAnsi="Times New Roman" w:cs="Times New Roman"/>
          <w:bCs/>
          <w:sz w:val="24"/>
          <w:szCs w:val="24"/>
        </w:rPr>
        <w:t>to judicial de San Martín</w:t>
      </w:r>
      <w:r w:rsidR="00C25901" w:rsidRPr="0030006E">
        <w:rPr>
          <w:rStyle w:val="FootnoteReference"/>
          <w:rFonts w:ascii="Times New Roman" w:hAnsi="Times New Roman" w:cs="Times New Roman"/>
          <w:bCs/>
          <w:sz w:val="24"/>
          <w:szCs w:val="24"/>
        </w:rPr>
        <w:footnoteReference w:id="4"/>
      </w:r>
      <w:r w:rsidR="005E2DC2" w:rsidRPr="0030006E">
        <w:rPr>
          <w:rFonts w:ascii="Times New Roman" w:hAnsi="Times New Roman" w:cs="Times New Roman"/>
          <w:bCs/>
          <w:sz w:val="24"/>
          <w:szCs w:val="24"/>
        </w:rPr>
        <w:t>, lo condena como coautor penalmente responsable del delito de robo calificado por el uso de armas de fuego, privación ilegal de la libertad agravada y como autor de los delitos de portación ilegal de arma de guerra y resistencia a la autoridad en concurso ideal con abuso de armas agravado, todos ellos en concurso real entre sí</w:t>
      </w:r>
      <w:r w:rsidR="00EE0C0C" w:rsidRPr="0030006E">
        <w:rPr>
          <w:rStyle w:val="FootnoteReference"/>
          <w:rFonts w:ascii="Times New Roman" w:hAnsi="Times New Roman" w:cs="Times New Roman"/>
          <w:bCs/>
          <w:sz w:val="24"/>
          <w:szCs w:val="24"/>
        </w:rPr>
        <w:footnoteReference w:id="5"/>
      </w:r>
      <w:r w:rsidR="00EE0C0C" w:rsidRPr="0030006E">
        <w:rPr>
          <w:rFonts w:ascii="Times New Roman" w:hAnsi="Times New Roman" w:cs="Times New Roman"/>
          <w:bCs/>
          <w:sz w:val="24"/>
          <w:szCs w:val="24"/>
        </w:rPr>
        <w:t>.</w:t>
      </w:r>
      <w:r w:rsidR="00D03A4D" w:rsidRPr="0030006E">
        <w:rPr>
          <w:rFonts w:ascii="Times New Roman" w:hAnsi="Times New Roman" w:cs="Times New Roman"/>
          <w:bCs/>
          <w:sz w:val="24"/>
          <w:szCs w:val="24"/>
        </w:rPr>
        <w:t xml:space="preserve"> Esto, aunque jamás se pudo comprobar la portación de arma por parte de </w:t>
      </w:r>
      <w:r w:rsidR="00B547B1" w:rsidRPr="0030006E">
        <w:rPr>
          <w:rFonts w:ascii="Times New Roman" w:hAnsi="Times New Roman" w:cs="Times New Roman"/>
          <w:bCs/>
          <w:sz w:val="24"/>
          <w:szCs w:val="24"/>
        </w:rPr>
        <w:t>Emanuel</w:t>
      </w:r>
      <w:r w:rsidR="00D03A4D" w:rsidRPr="0030006E">
        <w:rPr>
          <w:rFonts w:ascii="Times New Roman" w:hAnsi="Times New Roman" w:cs="Times New Roman"/>
          <w:bCs/>
          <w:sz w:val="24"/>
          <w:szCs w:val="24"/>
        </w:rPr>
        <w:t>. La sentencia condenatoria de primera instancia que lo condena a 12 años de pena privativa de la libertad a pedido de la fiscal interviniente, no ha adquirido calidad de cosa juzgada</w:t>
      </w:r>
      <w:r w:rsidR="006336FD" w:rsidRPr="0030006E">
        <w:rPr>
          <w:rFonts w:ascii="Times New Roman" w:hAnsi="Times New Roman" w:cs="Times New Roman"/>
          <w:bCs/>
          <w:sz w:val="24"/>
          <w:szCs w:val="24"/>
        </w:rPr>
        <w:t>:</w:t>
      </w:r>
      <w:r w:rsidR="00D03A4D" w:rsidRPr="0030006E">
        <w:rPr>
          <w:rFonts w:ascii="Times New Roman" w:hAnsi="Times New Roman" w:cs="Times New Roman"/>
          <w:bCs/>
          <w:sz w:val="24"/>
          <w:szCs w:val="24"/>
        </w:rPr>
        <w:t xml:space="preserve"> </w:t>
      </w:r>
      <w:r w:rsidR="006336FD" w:rsidRPr="0030006E">
        <w:rPr>
          <w:rFonts w:ascii="Times New Roman" w:hAnsi="Times New Roman" w:cs="Times New Roman"/>
          <w:bCs/>
          <w:sz w:val="24"/>
          <w:szCs w:val="24"/>
        </w:rPr>
        <w:t>d</w:t>
      </w:r>
      <w:r w:rsidR="00D03A4D" w:rsidRPr="0030006E">
        <w:rPr>
          <w:rFonts w:ascii="Times New Roman" w:hAnsi="Times New Roman" w:cs="Times New Roman"/>
          <w:bCs/>
          <w:sz w:val="24"/>
          <w:szCs w:val="24"/>
        </w:rPr>
        <w:t>esde mayo de 2015 la causa se encuentra en el Tribunal de Casación Penal</w:t>
      </w:r>
      <w:r w:rsidR="00E50F63" w:rsidRPr="0030006E">
        <w:rPr>
          <w:rStyle w:val="FootnoteReference"/>
          <w:rFonts w:ascii="Times New Roman" w:hAnsi="Times New Roman" w:cs="Times New Roman"/>
          <w:bCs/>
          <w:sz w:val="24"/>
          <w:szCs w:val="24"/>
        </w:rPr>
        <w:footnoteReference w:id="6"/>
      </w:r>
      <w:r w:rsidR="00D03A4D" w:rsidRPr="0030006E">
        <w:rPr>
          <w:rFonts w:ascii="Times New Roman" w:hAnsi="Times New Roman" w:cs="Times New Roman"/>
          <w:bCs/>
          <w:sz w:val="24"/>
          <w:szCs w:val="24"/>
        </w:rPr>
        <w:t xml:space="preserve"> pendiente de resolución.</w:t>
      </w:r>
    </w:p>
    <w:p w14:paraId="104107CB" w14:textId="77777777" w:rsidR="0018541A" w:rsidRPr="0030006E" w:rsidRDefault="00B547B1" w:rsidP="0030006E">
      <w:pPr>
        <w:spacing w:line="360" w:lineRule="auto"/>
        <w:ind w:firstLine="1134"/>
        <w:jc w:val="both"/>
        <w:rPr>
          <w:rFonts w:ascii="Times New Roman" w:hAnsi="Times New Roman" w:cs="Times New Roman"/>
          <w:bCs/>
          <w:sz w:val="24"/>
          <w:szCs w:val="24"/>
        </w:rPr>
      </w:pPr>
      <w:r w:rsidRPr="0030006E">
        <w:rPr>
          <w:rFonts w:ascii="Times New Roman" w:hAnsi="Times New Roman" w:cs="Times New Roman"/>
          <w:bCs/>
          <w:sz w:val="24"/>
          <w:szCs w:val="24"/>
        </w:rPr>
        <w:lastRenderedPageBreak/>
        <w:t xml:space="preserve">Emanuel </w:t>
      </w:r>
      <w:r w:rsidR="005E2DC2" w:rsidRPr="0030006E">
        <w:rPr>
          <w:rFonts w:ascii="Times New Roman" w:hAnsi="Times New Roman" w:cs="Times New Roman"/>
          <w:bCs/>
          <w:sz w:val="24"/>
          <w:szCs w:val="24"/>
        </w:rPr>
        <w:t xml:space="preserve">está actualmente alojado en la Unidad 23, Pabellón E1, de Florencio Varela. Presenta varios problemas de salud que requieren atención médica especializada y continua por su gravedad. </w:t>
      </w:r>
      <w:r w:rsidR="00D03A4D" w:rsidRPr="0030006E">
        <w:rPr>
          <w:rFonts w:ascii="Times New Roman" w:hAnsi="Times New Roman" w:cs="Times New Roman"/>
          <w:bCs/>
          <w:sz w:val="24"/>
          <w:szCs w:val="24"/>
        </w:rPr>
        <w:t>N</w:t>
      </w:r>
      <w:r w:rsidR="005E2DC2" w:rsidRPr="0030006E">
        <w:rPr>
          <w:rFonts w:ascii="Times New Roman" w:hAnsi="Times New Roman" w:cs="Times New Roman"/>
          <w:bCs/>
          <w:sz w:val="24"/>
          <w:szCs w:val="24"/>
        </w:rPr>
        <w:t>o fue atendido por un médico desde que se encuentra privado de su libertad. En los últimos 3 años, su control de salud consistió en visitar la salita médica del Servicio Penitenciario a cargo de otro preso</w:t>
      </w:r>
      <w:r w:rsidR="00D27F6C" w:rsidRPr="0030006E">
        <w:rPr>
          <w:rFonts w:ascii="Times New Roman" w:hAnsi="Times New Roman" w:cs="Times New Roman"/>
          <w:bCs/>
          <w:sz w:val="24"/>
          <w:szCs w:val="24"/>
        </w:rPr>
        <w:t>, lo que trae como consecuencia que las dosis de su medicación estén totalmente desactualizadas</w:t>
      </w:r>
      <w:r w:rsidR="005E2DC2" w:rsidRPr="0030006E">
        <w:rPr>
          <w:rFonts w:ascii="Times New Roman" w:hAnsi="Times New Roman" w:cs="Times New Roman"/>
          <w:bCs/>
          <w:sz w:val="24"/>
          <w:szCs w:val="24"/>
        </w:rPr>
        <w:t>. Frente a sus constantes y profundos dolores le brindan siempre la misma solución: ibuprofeno.</w:t>
      </w:r>
      <w:r w:rsidR="00D03A4D" w:rsidRPr="0030006E">
        <w:rPr>
          <w:rFonts w:ascii="Times New Roman" w:hAnsi="Times New Roman" w:cs="Times New Roman"/>
          <w:bCs/>
          <w:sz w:val="24"/>
          <w:szCs w:val="24"/>
        </w:rPr>
        <w:t xml:space="preserve"> </w:t>
      </w:r>
      <w:r w:rsidR="0018541A" w:rsidRPr="0030006E">
        <w:rPr>
          <w:rFonts w:ascii="Times New Roman" w:hAnsi="Times New Roman" w:cs="Times New Roman"/>
          <w:bCs/>
          <w:sz w:val="24"/>
          <w:szCs w:val="24"/>
        </w:rPr>
        <w:t xml:space="preserve">Todo esto en flagrante violación a los estándares del Sistema Interamericano de Derechos Humanos, como parte de la obligación especial que poseen los Estados respecto de la tutela de los derechos de las personas privadas de libertad, </w:t>
      </w:r>
      <w:r w:rsidR="0028170A" w:rsidRPr="0030006E">
        <w:rPr>
          <w:rFonts w:ascii="Times New Roman" w:hAnsi="Times New Roman" w:cs="Times New Roman"/>
          <w:bCs/>
          <w:sz w:val="24"/>
          <w:szCs w:val="24"/>
        </w:rPr>
        <w:t>en donde la atención a la s</w:t>
      </w:r>
      <w:r w:rsidR="0018541A" w:rsidRPr="0030006E">
        <w:rPr>
          <w:rFonts w:ascii="Times New Roman" w:hAnsi="Times New Roman" w:cs="Times New Roman"/>
          <w:bCs/>
          <w:sz w:val="24"/>
          <w:szCs w:val="24"/>
        </w:rPr>
        <w:t>alud resulta un eje fundamental. El Estado tiene la obligación de garantizar una revisión médica regular y atención y tratamiento médico adecuado y oportuno cuando se requiera</w:t>
      </w:r>
      <w:r w:rsidR="0018541A" w:rsidRPr="0030006E">
        <w:rPr>
          <w:rStyle w:val="FootnoteReference"/>
          <w:rFonts w:ascii="Times New Roman" w:hAnsi="Times New Roman" w:cs="Times New Roman"/>
          <w:bCs/>
          <w:sz w:val="24"/>
          <w:szCs w:val="24"/>
        </w:rPr>
        <w:footnoteReference w:id="7"/>
      </w:r>
      <w:r w:rsidR="0018541A" w:rsidRPr="0030006E">
        <w:rPr>
          <w:rFonts w:ascii="Times New Roman" w:hAnsi="Times New Roman" w:cs="Times New Roman"/>
          <w:bCs/>
          <w:sz w:val="24"/>
          <w:szCs w:val="24"/>
        </w:rPr>
        <w:t xml:space="preserve">. </w:t>
      </w:r>
    </w:p>
    <w:p w14:paraId="29D4B264" w14:textId="77777777" w:rsidR="00BF0CD2" w:rsidRPr="0030006E" w:rsidRDefault="005A38FF" w:rsidP="0030006E">
      <w:pPr>
        <w:spacing w:line="360" w:lineRule="auto"/>
        <w:jc w:val="both"/>
        <w:rPr>
          <w:rFonts w:ascii="Times New Roman" w:hAnsi="Times New Roman" w:cs="Times New Roman"/>
          <w:bCs/>
          <w:sz w:val="24"/>
          <w:szCs w:val="24"/>
        </w:rPr>
      </w:pPr>
      <w:r w:rsidRPr="0030006E">
        <w:rPr>
          <w:rFonts w:ascii="Times New Roman" w:hAnsi="Times New Roman" w:cs="Times New Roman"/>
          <w:bCs/>
          <w:sz w:val="24"/>
          <w:szCs w:val="24"/>
        </w:rPr>
        <w:t xml:space="preserve">     </w:t>
      </w:r>
      <w:r w:rsidR="00BF0CD2" w:rsidRPr="0030006E">
        <w:rPr>
          <w:rFonts w:ascii="Times New Roman" w:hAnsi="Times New Roman" w:cs="Times New Roman"/>
          <w:bCs/>
          <w:sz w:val="24"/>
          <w:szCs w:val="24"/>
        </w:rPr>
        <w:t>Como consecuencia de esto, su defensora oficial Roxana Cozzetto Oviedo ha presentado un primer pedido de morigeración (la c</w:t>
      </w:r>
      <w:r w:rsidR="00754B2B" w:rsidRPr="0030006E">
        <w:rPr>
          <w:rFonts w:ascii="Times New Roman" w:hAnsi="Times New Roman" w:cs="Times New Roman"/>
          <w:bCs/>
          <w:sz w:val="24"/>
          <w:szCs w:val="24"/>
        </w:rPr>
        <w:t xml:space="preserve">onocida prisión domiciliaria), </w:t>
      </w:r>
      <w:r w:rsidR="00BF0CD2" w:rsidRPr="0030006E">
        <w:rPr>
          <w:rFonts w:ascii="Times New Roman" w:hAnsi="Times New Roman" w:cs="Times New Roman"/>
          <w:bCs/>
          <w:sz w:val="24"/>
          <w:szCs w:val="24"/>
        </w:rPr>
        <w:t>l</w:t>
      </w:r>
      <w:r w:rsidR="00754B2B" w:rsidRPr="0030006E">
        <w:rPr>
          <w:rFonts w:ascii="Times New Roman" w:hAnsi="Times New Roman" w:cs="Times New Roman"/>
          <w:bCs/>
          <w:sz w:val="24"/>
          <w:szCs w:val="24"/>
        </w:rPr>
        <w:t>a</w:t>
      </w:r>
      <w:r w:rsidR="00BF0CD2" w:rsidRPr="0030006E">
        <w:rPr>
          <w:rFonts w:ascii="Times New Roman" w:hAnsi="Times New Roman" w:cs="Times New Roman"/>
          <w:bCs/>
          <w:sz w:val="24"/>
          <w:szCs w:val="24"/>
        </w:rPr>
        <w:t xml:space="preserve"> cual fue rechazad</w:t>
      </w:r>
      <w:r w:rsidR="00754B2B" w:rsidRPr="0030006E">
        <w:rPr>
          <w:rFonts w:ascii="Times New Roman" w:hAnsi="Times New Roman" w:cs="Times New Roman"/>
          <w:bCs/>
          <w:sz w:val="24"/>
          <w:szCs w:val="24"/>
        </w:rPr>
        <w:t>a</w:t>
      </w:r>
      <w:r w:rsidR="00BF0CD2" w:rsidRPr="0030006E">
        <w:rPr>
          <w:rFonts w:ascii="Times New Roman" w:hAnsi="Times New Roman" w:cs="Times New Roman"/>
          <w:bCs/>
          <w:sz w:val="24"/>
          <w:szCs w:val="24"/>
        </w:rPr>
        <w:t xml:space="preserve"> por </w:t>
      </w:r>
      <w:r w:rsidR="00754B2B" w:rsidRPr="0030006E">
        <w:rPr>
          <w:rFonts w:ascii="Times New Roman" w:hAnsi="Times New Roman" w:cs="Times New Roman"/>
          <w:bCs/>
          <w:sz w:val="24"/>
          <w:szCs w:val="24"/>
        </w:rPr>
        <w:t xml:space="preserve">la </w:t>
      </w:r>
      <w:r w:rsidR="00BF0CD2" w:rsidRPr="0030006E">
        <w:rPr>
          <w:rFonts w:ascii="Times New Roman" w:hAnsi="Times New Roman" w:cs="Times New Roman"/>
          <w:bCs/>
          <w:sz w:val="24"/>
          <w:szCs w:val="24"/>
        </w:rPr>
        <w:t>Sala II de la Excma Cámara de Apelaciones y Garantías</w:t>
      </w:r>
      <w:r w:rsidR="001663FC" w:rsidRPr="0030006E">
        <w:rPr>
          <w:rStyle w:val="FootnoteReference"/>
          <w:rFonts w:ascii="Times New Roman" w:hAnsi="Times New Roman" w:cs="Times New Roman"/>
          <w:bCs/>
          <w:sz w:val="24"/>
          <w:szCs w:val="24"/>
        </w:rPr>
        <w:footnoteReference w:id="8"/>
      </w:r>
      <w:r w:rsidR="00BF0CD2" w:rsidRPr="0030006E">
        <w:rPr>
          <w:rFonts w:ascii="Times New Roman" w:hAnsi="Times New Roman" w:cs="Times New Roman"/>
          <w:bCs/>
          <w:sz w:val="24"/>
          <w:szCs w:val="24"/>
        </w:rPr>
        <w:t xml:space="preserve">. La situación de </w:t>
      </w:r>
      <w:r w:rsidR="00B547B1" w:rsidRPr="0030006E">
        <w:rPr>
          <w:rFonts w:ascii="Times New Roman" w:hAnsi="Times New Roman" w:cs="Times New Roman"/>
          <w:bCs/>
          <w:sz w:val="24"/>
          <w:szCs w:val="24"/>
        </w:rPr>
        <w:t xml:space="preserve">Emanuel </w:t>
      </w:r>
      <w:r w:rsidR="00BF0CD2" w:rsidRPr="0030006E">
        <w:rPr>
          <w:rFonts w:ascii="Times New Roman" w:hAnsi="Times New Roman" w:cs="Times New Roman"/>
          <w:bCs/>
          <w:sz w:val="24"/>
          <w:szCs w:val="24"/>
        </w:rPr>
        <w:t xml:space="preserve">fue </w:t>
      </w:r>
      <w:r w:rsidR="00D27F6C" w:rsidRPr="0030006E">
        <w:rPr>
          <w:rFonts w:ascii="Times New Roman" w:hAnsi="Times New Roman" w:cs="Times New Roman"/>
          <w:bCs/>
          <w:sz w:val="24"/>
          <w:szCs w:val="24"/>
        </w:rPr>
        <w:t>empeorando a partir de entonces,</w:t>
      </w:r>
      <w:r w:rsidR="00BF0CD2" w:rsidRPr="0030006E">
        <w:rPr>
          <w:rFonts w:ascii="Times New Roman" w:hAnsi="Times New Roman" w:cs="Times New Roman"/>
          <w:bCs/>
          <w:sz w:val="24"/>
          <w:szCs w:val="24"/>
        </w:rPr>
        <w:t xml:space="preserve"> se encuentra cotidianamente dolorido y sin un tratamiento médico serio. A su vez, muchas veces ni siquiera recibe los numerosos medicamentos que necesita, o bien porque no llegan, o bien porque se lo quitan otros presos.</w:t>
      </w:r>
    </w:p>
    <w:p w14:paraId="5FCC7048" w14:textId="77777777" w:rsidR="006C0E40" w:rsidRPr="0030006E" w:rsidRDefault="005A38FF" w:rsidP="0030006E">
      <w:pPr>
        <w:spacing w:line="360" w:lineRule="auto"/>
        <w:jc w:val="both"/>
        <w:rPr>
          <w:rFonts w:ascii="Times New Roman" w:hAnsi="Times New Roman" w:cs="Times New Roman"/>
          <w:bCs/>
          <w:sz w:val="24"/>
          <w:szCs w:val="24"/>
        </w:rPr>
      </w:pPr>
      <w:r w:rsidRPr="0030006E">
        <w:rPr>
          <w:rFonts w:ascii="Times New Roman" w:hAnsi="Times New Roman" w:cs="Times New Roman"/>
          <w:bCs/>
          <w:sz w:val="24"/>
          <w:szCs w:val="24"/>
        </w:rPr>
        <w:t xml:space="preserve">     </w:t>
      </w:r>
      <w:r w:rsidR="00BF0CD2" w:rsidRPr="0030006E">
        <w:rPr>
          <w:rFonts w:ascii="Times New Roman" w:hAnsi="Times New Roman" w:cs="Times New Roman"/>
          <w:bCs/>
          <w:sz w:val="24"/>
          <w:szCs w:val="24"/>
        </w:rPr>
        <w:t xml:space="preserve">Así es que, por la gravedad de la situación de </w:t>
      </w:r>
      <w:r w:rsidR="00B547B1" w:rsidRPr="0030006E">
        <w:rPr>
          <w:rFonts w:ascii="Times New Roman" w:hAnsi="Times New Roman" w:cs="Times New Roman"/>
          <w:bCs/>
          <w:sz w:val="24"/>
          <w:szCs w:val="24"/>
        </w:rPr>
        <w:t xml:space="preserve">Emanuel </w:t>
      </w:r>
      <w:r w:rsidR="00BF0CD2" w:rsidRPr="0030006E">
        <w:rPr>
          <w:rFonts w:ascii="Times New Roman" w:hAnsi="Times New Roman" w:cs="Times New Roman"/>
          <w:bCs/>
          <w:sz w:val="24"/>
          <w:szCs w:val="24"/>
        </w:rPr>
        <w:t>en el SPB, la defensora oficial vuelve a presentar un segundo pedido de morigeración</w:t>
      </w:r>
      <w:r w:rsidR="00405246" w:rsidRPr="0030006E">
        <w:rPr>
          <w:rFonts w:ascii="Times New Roman" w:hAnsi="Times New Roman" w:cs="Times New Roman"/>
          <w:bCs/>
          <w:sz w:val="24"/>
          <w:szCs w:val="24"/>
        </w:rPr>
        <w:t xml:space="preserve"> en mayo de 2016</w:t>
      </w:r>
      <w:r w:rsidR="00BF0CD2" w:rsidRPr="0030006E">
        <w:rPr>
          <w:rFonts w:ascii="Times New Roman" w:hAnsi="Times New Roman" w:cs="Times New Roman"/>
          <w:bCs/>
          <w:sz w:val="24"/>
          <w:szCs w:val="24"/>
        </w:rPr>
        <w:t>, el cual es rechazado por segunda vez por el Tribunal en lo Criminal N°1 de San Martín alegando un posible peligro de fuga</w:t>
      </w:r>
      <w:r w:rsidR="006C0E40" w:rsidRPr="0030006E">
        <w:rPr>
          <w:rFonts w:ascii="Times New Roman" w:hAnsi="Times New Roman" w:cs="Times New Roman"/>
          <w:bCs/>
          <w:sz w:val="24"/>
          <w:szCs w:val="24"/>
        </w:rPr>
        <w:t xml:space="preserve">. La misma en totalmente ridícula: </w:t>
      </w:r>
      <w:r w:rsidR="00B547B1" w:rsidRPr="0030006E">
        <w:rPr>
          <w:rFonts w:ascii="Times New Roman" w:hAnsi="Times New Roman" w:cs="Times New Roman"/>
          <w:bCs/>
          <w:sz w:val="24"/>
          <w:szCs w:val="24"/>
        </w:rPr>
        <w:t xml:space="preserve">Emanuel </w:t>
      </w:r>
      <w:r w:rsidR="006C0E40" w:rsidRPr="0030006E">
        <w:rPr>
          <w:rFonts w:ascii="Times New Roman" w:hAnsi="Times New Roman" w:cs="Times New Roman"/>
          <w:bCs/>
          <w:sz w:val="24"/>
          <w:szCs w:val="24"/>
        </w:rPr>
        <w:t xml:space="preserve">es una persona que se encuentra en un estado de vulnerabilidad latente por las condiciones de salud en la que se encuentra, enfrentando, la mayor de las veces, dolores que no le permiten ni siquiera caminar. El Tribunal también justifica el rechazo del pedido de morigeración sosteniendo que </w:t>
      </w:r>
      <w:r w:rsidR="00B547B1" w:rsidRPr="0030006E">
        <w:rPr>
          <w:rFonts w:ascii="Times New Roman" w:hAnsi="Times New Roman" w:cs="Times New Roman"/>
          <w:bCs/>
          <w:sz w:val="24"/>
          <w:szCs w:val="24"/>
        </w:rPr>
        <w:t>Emanuel</w:t>
      </w:r>
      <w:r w:rsidR="006C0E40" w:rsidRPr="0030006E">
        <w:rPr>
          <w:rFonts w:ascii="Times New Roman" w:hAnsi="Times New Roman" w:cs="Times New Roman"/>
          <w:bCs/>
          <w:sz w:val="24"/>
          <w:szCs w:val="24"/>
        </w:rPr>
        <w:t xml:space="preserve">, en virtud de una revisación médica que le practicó el equipo de salud, no presenta “cambios ni riesgos para su salud” y que “no ha recibido nuevos informes sobre la salud de </w:t>
      </w:r>
      <w:r w:rsidR="00B547B1" w:rsidRPr="0030006E">
        <w:rPr>
          <w:rFonts w:ascii="Times New Roman" w:hAnsi="Times New Roman" w:cs="Times New Roman"/>
          <w:bCs/>
          <w:sz w:val="24"/>
          <w:szCs w:val="24"/>
        </w:rPr>
        <w:t>Silva</w:t>
      </w:r>
      <w:r w:rsidR="006C0E40" w:rsidRPr="0030006E">
        <w:rPr>
          <w:rFonts w:ascii="Times New Roman" w:hAnsi="Times New Roman" w:cs="Times New Roman"/>
          <w:bCs/>
          <w:sz w:val="24"/>
          <w:szCs w:val="24"/>
        </w:rPr>
        <w:t xml:space="preserve">”. Precisamente en estas afirmaciones radica la vulnerabilidad actual de </w:t>
      </w:r>
      <w:r w:rsidR="00B547B1" w:rsidRPr="0030006E">
        <w:rPr>
          <w:rFonts w:ascii="Times New Roman" w:hAnsi="Times New Roman" w:cs="Times New Roman"/>
          <w:bCs/>
          <w:sz w:val="24"/>
          <w:szCs w:val="24"/>
        </w:rPr>
        <w:t xml:space="preserve">Emanuel </w:t>
      </w:r>
      <w:r w:rsidR="006C0E40" w:rsidRPr="0030006E">
        <w:rPr>
          <w:rFonts w:ascii="Times New Roman" w:hAnsi="Times New Roman" w:cs="Times New Roman"/>
          <w:bCs/>
          <w:sz w:val="24"/>
          <w:szCs w:val="24"/>
        </w:rPr>
        <w:t xml:space="preserve">y los continuos, persistentes y desgastantes movimientos de la </w:t>
      </w:r>
      <w:r w:rsidR="006C0E40" w:rsidRPr="0030006E">
        <w:rPr>
          <w:rFonts w:ascii="Times New Roman" w:hAnsi="Times New Roman" w:cs="Times New Roman"/>
          <w:bCs/>
          <w:sz w:val="24"/>
          <w:szCs w:val="24"/>
        </w:rPr>
        <w:lastRenderedPageBreak/>
        <w:t xml:space="preserve">madre en el juzgado y en la defensoría oficial a cargo, para que lo trasladen a una unidad médica externa, capaz de dar una opinión fundada sobre el estado de salud del mismo. En reiteradas ocasiones, a lo largo de los 3 años en el que </w:t>
      </w:r>
      <w:r w:rsidR="00B547B1" w:rsidRPr="0030006E">
        <w:rPr>
          <w:rFonts w:ascii="Times New Roman" w:hAnsi="Times New Roman" w:cs="Times New Roman"/>
          <w:bCs/>
          <w:sz w:val="24"/>
          <w:szCs w:val="24"/>
        </w:rPr>
        <w:t>Silva</w:t>
      </w:r>
      <w:r w:rsidR="006C0E40" w:rsidRPr="0030006E">
        <w:rPr>
          <w:rFonts w:ascii="Times New Roman" w:hAnsi="Times New Roman" w:cs="Times New Roman"/>
          <w:bCs/>
          <w:sz w:val="24"/>
          <w:szCs w:val="24"/>
        </w:rPr>
        <w:t xml:space="preserve"> se encuentra privado de su libertad, el control del equipo de salud a cargo, constó solamente de meras observaciones sin estudios serios de por medio (resonancias magnéticas, ecografías, entre otros), y en esta oportunidad, dicha situación no varía. No se le realizó a </w:t>
      </w:r>
      <w:r w:rsidR="00B547B1" w:rsidRPr="0030006E">
        <w:rPr>
          <w:rFonts w:ascii="Times New Roman" w:hAnsi="Times New Roman" w:cs="Times New Roman"/>
          <w:bCs/>
          <w:sz w:val="24"/>
          <w:szCs w:val="24"/>
        </w:rPr>
        <w:t xml:space="preserve">Emanuel </w:t>
      </w:r>
      <w:r w:rsidR="006C0E40" w:rsidRPr="0030006E">
        <w:rPr>
          <w:rFonts w:ascii="Times New Roman" w:hAnsi="Times New Roman" w:cs="Times New Roman"/>
          <w:bCs/>
          <w:sz w:val="24"/>
          <w:szCs w:val="24"/>
        </w:rPr>
        <w:t>ni un solo estudio que pueda haber sostenido la afirmación del Tribunal.</w:t>
      </w:r>
    </w:p>
    <w:p w14:paraId="40FC5EB6" w14:textId="77777777" w:rsidR="00AF4D5B" w:rsidRPr="0030006E" w:rsidRDefault="00AF4D5B" w:rsidP="0030006E">
      <w:pPr>
        <w:spacing w:line="360" w:lineRule="auto"/>
        <w:jc w:val="both"/>
        <w:rPr>
          <w:rFonts w:ascii="Times New Roman" w:hAnsi="Times New Roman" w:cs="Times New Roman"/>
          <w:bCs/>
          <w:sz w:val="24"/>
          <w:szCs w:val="24"/>
        </w:rPr>
      </w:pPr>
      <w:r w:rsidRPr="0030006E">
        <w:rPr>
          <w:rFonts w:ascii="Times New Roman" w:hAnsi="Times New Roman" w:cs="Times New Roman"/>
          <w:bCs/>
          <w:sz w:val="24"/>
          <w:szCs w:val="24"/>
        </w:rPr>
        <w:t>En este sentido, el Relator para las Personas Privadas de su Libertad en su última visita al país en el mes de septiembre del corriente año, advirtió que</w:t>
      </w:r>
      <w:r w:rsidR="00483D83" w:rsidRPr="0030006E">
        <w:rPr>
          <w:rFonts w:ascii="Times New Roman" w:hAnsi="Times New Roman" w:cs="Times New Roman"/>
          <w:bCs/>
          <w:sz w:val="24"/>
          <w:szCs w:val="24"/>
        </w:rPr>
        <w:t>:</w:t>
      </w:r>
    </w:p>
    <w:p w14:paraId="2CCA3CD1" w14:textId="77777777" w:rsidR="00AF4D5B" w:rsidRPr="0030006E" w:rsidRDefault="00AF4D5B" w:rsidP="0030006E">
      <w:pPr>
        <w:spacing w:line="360" w:lineRule="auto"/>
        <w:ind w:left="2268"/>
        <w:jc w:val="both"/>
        <w:rPr>
          <w:rFonts w:ascii="Times New Roman" w:hAnsi="Times New Roman" w:cs="Times New Roman"/>
          <w:bCs/>
          <w:sz w:val="24"/>
          <w:szCs w:val="24"/>
        </w:rPr>
      </w:pPr>
      <w:r w:rsidRPr="0030006E">
        <w:rPr>
          <w:rFonts w:ascii="Times New Roman" w:hAnsi="Times New Roman" w:cs="Times New Roman"/>
          <w:bCs/>
          <w:sz w:val="24"/>
          <w:szCs w:val="24"/>
        </w:rPr>
        <w:t xml:space="preserve">Respecto a la reclusión de personas en régimen de aislamiento, la Comisión Interamericana ha señalado que tal medida debe aplicarse únicamente en casos excepcionales, por el periodo de tiempo más breve posible y sólo como medida de último recurso. Además, su aplicación debe ser sujeta a estricto control judicial […] La CIDH recuerda que, de conformidad con estándares internacionales, está prohibido someter a régimen de aislamiento a […] personas con discapacidad mental. </w:t>
      </w:r>
      <w:r w:rsidR="00483D83" w:rsidRPr="0030006E">
        <w:rPr>
          <w:rFonts w:ascii="Times New Roman" w:hAnsi="Times New Roman" w:cs="Times New Roman"/>
          <w:bCs/>
          <w:sz w:val="24"/>
          <w:szCs w:val="24"/>
        </w:rPr>
        <w:t>[…]</w:t>
      </w:r>
      <w:r w:rsidR="00BA3A5E" w:rsidRPr="0030006E">
        <w:rPr>
          <w:rStyle w:val="FootnoteReference"/>
          <w:rFonts w:ascii="Times New Roman" w:hAnsi="Times New Roman" w:cs="Times New Roman"/>
          <w:bCs/>
          <w:sz w:val="24"/>
          <w:szCs w:val="24"/>
        </w:rPr>
        <w:footnoteReference w:id="9"/>
      </w:r>
      <w:r w:rsidRPr="0030006E">
        <w:rPr>
          <w:rFonts w:ascii="Times New Roman" w:hAnsi="Times New Roman" w:cs="Times New Roman"/>
          <w:bCs/>
          <w:sz w:val="24"/>
          <w:szCs w:val="24"/>
        </w:rPr>
        <w:t>.</w:t>
      </w:r>
    </w:p>
    <w:p w14:paraId="658BE974" w14:textId="77777777" w:rsidR="00BF0CD2" w:rsidRPr="0030006E" w:rsidRDefault="005A38FF" w:rsidP="0030006E">
      <w:pPr>
        <w:spacing w:line="360" w:lineRule="auto"/>
        <w:jc w:val="both"/>
        <w:rPr>
          <w:rFonts w:ascii="Times New Roman" w:hAnsi="Times New Roman" w:cs="Times New Roman"/>
          <w:bCs/>
          <w:sz w:val="24"/>
          <w:szCs w:val="24"/>
          <w:highlight w:val="yellow"/>
        </w:rPr>
      </w:pPr>
      <w:r w:rsidRPr="0030006E">
        <w:rPr>
          <w:rFonts w:ascii="Times New Roman" w:hAnsi="Times New Roman" w:cs="Times New Roman"/>
          <w:bCs/>
          <w:sz w:val="24"/>
          <w:szCs w:val="24"/>
        </w:rPr>
        <w:t xml:space="preserve">     </w:t>
      </w:r>
      <w:r w:rsidR="00BF0CD2" w:rsidRPr="0030006E">
        <w:rPr>
          <w:rFonts w:ascii="Times New Roman" w:hAnsi="Times New Roman" w:cs="Times New Roman"/>
          <w:bCs/>
          <w:sz w:val="24"/>
          <w:szCs w:val="24"/>
        </w:rPr>
        <w:t xml:space="preserve">Ante este panorama, la defensora oficial apeló la resolución. Con fecha 4 de octubre del corriente año, la Sala III de la Excma. Cámara de Apelación y Garantía en lo penal (causa N° 23.279) resuelve hacer lugar al pedido de morigeración de la prisión preventiva de </w:t>
      </w:r>
      <w:r w:rsidR="00B547B1" w:rsidRPr="0030006E">
        <w:rPr>
          <w:rFonts w:ascii="Times New Roman" w:hAnsi="Times New Roman" w:cs="Times New Roman"/>
          <w:bCs/>
          <w:sz w:val="24"/>
          <w:szCs w:val="24"/>
        </w:rPr>
        <w:t>Silva</w:t>
      </w:r>
      <w:r w:rsidR="00BF0CD2" w:rsidRPr="0030006E">
        <w:rPr>
          <w:rFonts w:ascii="Times New Roman" w:hAnsi="Times New Roman" w:cs="Times New Roman"/>
          <w:bCs/>
          <w:sz w:val="24"/>
          <w:szCs w:val="24"/>
        </w:rPr>
        <w:t xml:space="preserve">. Se basa en los diversos informes médicos detallando las dificultades y padecimientos de </w:t>
      </w:r>
      <w:r w:rsidR="00B547B1" w:rsidRPr="0030006E">
        <w:rPr>
          <w:rFonts w:ascii="Times New Roman" w:hAnsi="Times New Roman" w:cs="Times New Roman"/>
          <w:bCs/>
          <w:sz w:val="24"/>
          <w:szCs w:val="24"/>
        </w:rPr>
        <w:t xml:space="preserve">Emanuel </w:t>
      </w:r>
      <w:r w:rsidR="00BF0CD2" w:rsidRPr="0030006E">
        <w:rPr>
          <w:rFonts w:ascii="Times New Roman" w:hAnsi="Times New Roman" w:cs="Times New Roman"/>
          <w:bCs/>
          <w:sz w:val="24"/>
          <w:szCs w:val="24"/>
        </w:rPr>
        <w:t xml:space="preserve">concluyendo que “los antecedentes médicos reseñados dan cuenta de la muy alta vulnerabilidad que presenta </w:t>
      </w:r>
      <w:r w:rsidR="00B547B1" w:rsidRPr="0030006E">
        <w:rPr>
          <w:rFonts w:ascii="Times New Roman" w:hAnsi="Times New Roman" w:cs="Times New Roman"/>
          <w:bCs/>
          <w:sz w:val="24"/>
          <w:szCs w:val="24"/>
        </w:rPr>
        <w:t>Silva</w:t>
      </w:r>
      <w:r w:rsidR="00BF0CD2" w:rsidRPr="0030006E">
        <w:rPr>
          <w:rFonts w:ascii="Times New Roman" w:hAnsi="Times New Roman" w:cs="Times New Roman"/>
          <w:bCs/>
          <w:sz w:val="24"/>
          <w:szCs w:val="24"/>
        </w:rPr>
        <w:t xml:space="preserve"> tanto por sus múltiples patologías como por su retraso madurativo, a partir de lo cual su permanencia en una unidad carcelaria representaría un </w:t>
      </w:r>
      <w:r w:rsidR="00BF0CD2" w:rsidRPr="0030006E">
        <w:rPr>
          <w:rFonts w:ascii="Times New Roman" w:hAnsi="Times New Roman" w:cs="Times New Roman"/>
          <w:bCs/>
          <w:sz w:val="24"/>
          <w:szCs w:val="24"/>
          <w:u w:val="single"/>
        </w:rPr>
        <w:t>riesgo cierto para su salud</w:t>
      </w:r>
      <w:r w:rsidR="00BF0CD2" w:rsidRPr="0030006E">
        <w:rPr>
          <w:rFonts w:ascii="Times New Roman" w:hAnsi="Times New Roman" w:cs="Times New Roman"/>
          <w:bCs/>
          <w:sz w:val="24"/>
          <w:szCs w:val="24"/>
          <w:u w:val="single"/>
          <w:vertAlign w:val="superscript"/>
        </w:rPr>
        <w:footnoteReference w:id="10"/>
      </w:r>
      <w:r w:rsidR="00BF0CD2" w:rsidRPr="0030006E">
        <w:rPr>
          <w:rFonts w:ascii="Times New Roman" w:hAnsi="Times New Roman" w:cs="Times New Roman"/>
          <w:bCs/>
          <w:sz w:val="24"/>
          <w:szCs w:val="24"/>
        </w:rPr>
        <w:t>”.</w:t>
      </w:r>
    </w:p>
    <w:p w14:paraId="4387E494" w14:textId="77777777" w:rsidR="005E2DC2" w:rsidRPr="0030006E" w:rsidRDefault="005A38FF" w:rsidP="0030006E">
      <w:pPr>
        <w:spacing w:line="360" w:lineRule="auto"/>
        <w:jc w:val="both"/>
        <w:rPr>
          <w:rFonts w:ascii="Times New Roman" w:hAnsi="Times New Roman" w:cs="Times New Roman"/>
          <w:bCs/>
          <w:sz w:val="24"/>
          <w:szCs w:val="24"/>
        </w:rPr>
      </w:pPr>
      <w:r w:rsidRPr="0030006E">
        <w:rPr>
          <w:rFonts w:ascii="Times New Roman" w:hAnsi="Times New Roman" w:cs="Times New Roman"/>
          <w:bCs/>
          <w:sz w:val="24"/>
          <w:szCs w:val="24"/>
        </w:rPr>
        <w:t xml:space="preserve">     </w:t>
      </w:r>
      <w:r w:rsidR="00974D38" w:rsidRPr="0030006E">
        <w:rPr>
          <w:rFonts w:ascii="Times New Roman" w:hAnsi="Times New Roman" w:cs="Times New Roman"/>
          <w:bCs/>
          <w:sz w:val="24"/>
          <w:szCs w:val="24"/>
        </w:rPr>
        <w:t>A e</w:t>
      </w:r>
      <w:r w:rsidR="00BE6365" w:rsidRPr="0030006E">
        <w:rPr>
          <w:rFonts w:ascii="Times New Roman" w:hAnsi="Times New Roman" w:cs="Times New Roman"/>
          <w:bCs/>
          <w:sz w:val="24"/>
          <w:szCs w:val="24"/>
        </w:rPr>
        <w:t xml:space="preserve">sta situación límite se llegó por varias situaciones de irregularidad y, de tratos crueles e inhumanos. </w:t>
      </w:r>
      <w:r w:rsidR="00B547B1" w:rsidRPr="0030006E">
        <w:rPr>
          <w:rFonts w:ascii="Times New Roman" w:hAnsi="Times New Roman" w:cs="Times New Roman"/>
          <w:bCs/>
          <w:sz w:val="24"/>
          <w:szCs w:val="24"/>
        </w:rPr>
        <w:t xml:space="preserve">Emanuel </w:t>
      </w:r>
      <w:r w:rsidR="005E2DC2" w:rsidRPr="0030006E">
        <w:rPr>
          <w:rFonts w:ascii="Times New Roman" w:hAnsi="Times New Roman" w:cs="Times New Roman"/>
          <w:bCs/>
          <w:sz w:val="24"/>
          <w:szCs w:val="24"/>
        </w:rPr>
        <w:t>se enc</w:t>
      </w:r>
      <w:r w:rsidR="00BE6365" w:rsidRPr="0030006E">
        <w:rPr>
          <w:rFonts w:ascii="Times New Roman" w:hAnsi="Times New Roman" w:cs="Times New Roman"/>
          <w:bCs/>
          <w:sz w:val="24"/>
          <w:szCs w:val="24"/>
        </w:rPr>
        <w:t>o</w:t>
      </w:r>
      <w:r w:rsidR="005E2DC2" w:rsidRPr="0030006E">
        <w:rPr>
          <w:rFonts w:ascii="Times New Roman" w:hAnsi="Times New Roman" w:cs="Times New Roman"/>
          <w:bCs/>
          <w:sz w:val="24"/>
          <w:szCs w:val="24"/>
        </w:rPr>
        <w:t>ntra</w:t>
      </w:r>
      <w:r w:rsidR="00BE6365" w:rsidRPr="0030006E">
        <w:rPr>
          <w:rFonts w:ascii="Times New Roman" w:hAnsi="Times New Roman" w:cs="Times New Roman"/>
          <w:bCs/>
          <w:sz w:val="24"/>
          <w:szCs w:val="24"/>
        </w:rPr>
        <w:t>ba durmiendo hasta no hace muy poco</w:t>
      </w:r>
      <w:r w:rsidR="005E2DC2" w:rsidRPr="0030006E">
        <w:rPr>
          <w:rFonts w:ascii="Times New Roman" w:hAnsi="Times New Roman" w:cs="Times New Roman"/>
          <w:bCs/>
          <w:sz w:val="24"/>
          <w:szCs w:val="24"/>
        </w:rPr>
        <w:t>, en un</w:t>
      </w:r>
      <w:r w:rsidR="00BE6365" w:rsidRPr="0030006E">
        <w:rPr>
          <w:rFonts w:ascii="Times New Roman" w:hAnsi="Times New Roman" w:cs="Times New Roman"/>
          <w:bCs/>
          <w:sz w:val="24"/>
          <w:szCs w:val="24"/>
        </w:rPr>
        <w:t xml:space="preserve"> colchón en pésimas condiciones</w:t>
      </w:r>
      <w:r w:rsidR="005E2DC2" w:rsidRPr="0030006E">
        <w:rPr>
          <w:rFonts w:ascii="Times New Roman" w:hAnsi="Times New Roman" w:cs="Times New Roman"/>
          <w:bCs/>
          <w:sz w:val="24"/>
          <w:szCs w:val="24"/>
        </w:rPr>
        <w:t xml:space="preserve">. La humedad del piso del Servicio Penitenciario le aumenta sus dolores diarios y no ayuda a la falta de medicamentos y tratamiento. </w:t>
      </w:r>
      <w:r w:rsidR="00BE6365" w:rsidRPr="0030006E">
        <w:rPr>
          <w:rFonts w:ascii="Times New Roman" w:hAnsi="Times New Roman" w:cs="Times New Roman"/>
          <w:bCs/>
          <w:sz w:val="24"/>
          <w:szCs w:val="24"/>
        </w:rPr>
        <w:t>L</w:t>
      </w:r>
      <w:r w:rsidR="005E2DC2" w:rsidRPr="0030006E">
        <w:rPr>
          <w:rFonts w:ascii="Times New Roman" w:hAnsi="Times New Roman" w:cs="Times New Roman"/>
          <w:bCs/>
          <w:sz w:val="24"/>
          <w:szCs w:val="24"/>
        </w:rPr>
        <w:t xml:space="preserve">a defensora oficial Roxana Oviedo emitió un escrito para que se resuelva dicha situación pero la burocracia, relaciones de poder y el propio </w:t>
      </w:r>
      <w:r w:rsidR="005E2DC2" w:rsidRPr="0030006E">
        <w:rPr>
          <w:rFonts w:ascii="Times New Roman" w:hAnsi="Times New Roman" w:cs="Times New Roman"/>
          <w:bCs/>
          <w:sz w:val="24"/>
          <w:szCs w:val="24"/>
        </w:rPr>
        <w:lastRenderedPageBreak/>
        <w:t xml:space="preserve">sistema de gobernabilidad de la Unidad, desembocaron en obligarlo a </w:t>
      </w:r>
      <w:r w:rsidR="00B547B1" w:rsidRPr="0030006E">
        <w:rPr>
          <w:rFonts w:ascii="Times New Roman" w:hAnsi="Times New Roman" w:cs="Times New Roman"/>
          <w:bCs/>
          <w:sz w:val="24"/>
          <w:szCs w:val="24"/>
        </w:rPr>
        <w:t xml:space="preserve">Emanuel </w:t>
      </w:r>
      <w:r w:rsidR="005E2DC2" w:rsidRPr="0030006E">
        <w:rPr>
          <w:rFonts w:ascii="Times New Roman" w:hAnsi="Times New Roman" w:cs="Times New Roman"/>
          <w:bCs/>
          <w:sz w:val="24"/>
          <w:szCs w:val="24"/>
        </w:rPr>
        <w:t>a firmar un papel sosteniendo que recibió dicho colchón cu</w:t>
      </w:r>
      <w:r w:rsidR="006303DA" w:rsidRPr="0030006E">
        <w:rPr>
          <w:rFonts w:ascii="Times New Roman" w:hAnsi="Times New Roman" w:cs="Times New Roman"/>
          <w:bCs/>
          <w:sz w:val="24"/>
          <w:szCs w:val="24"/>
        </w:rPr>
        <w:t>ando en la práctica no fue así.</w:t>
      </w:r>
      <w:r w:rsidR="00BE6365" w:rsidRPr="0030006E">
        <w:rPr>
          <w:rFonts w:ascii="Times New Roman" w:hAnsi="Times New Roman" w:cs="Times New Roman"/>
          <w:bCs/>
          <w:sz w:val="24"/>
          <w:szCs w:val="24"/>
        </w:rPr>
        <w:t xml:space="preserve"> A su vez, </w:t>
      </w:r>
      <w:r w:rsidR="00C82FC5" w:rsidRPr="0030006E">
        <w:rPr>
          <w:rFonts w:ascii="Times New Roman" w:hAnsi="Times New Roman" w:cs="Times New Roman"/>
          <w:bCs/>
          <w:sz w:val="24"/>
          <w:szCs w:val="24"/>
        </w:rPr>
        <w:t xml:space="preserve">Emanuel </w:t>
      </w:r>
      <w:r w:rsidR="005E2DC2" w:rsidRPr="0030006E">
        <w:rPr>
          <w:rFonts w:ascii="Times New Roman" w:hAnsi="Times New Roman" w:cs="Times New Roman"/>
          <w:bCs/>
          <w:sz w:val="24"/>
          <w:szCs w:val="24"/>
        </w:rPr>
        <w:t xml:space="preserve">es sacado al patio en horas de la madrugada, donde es expuesto a las heladas y condiciones meteorológicas </w:t>
      </w:r>
      <w:r w:rsidR="00BE6365" w:rsidRPr="0030006E">
        <w:rPr>
          <w:rFonts w:ascii="Times New Roman" w:hAnsi="Times New Roman" w:cs="Times New Roman"/>
          <w:bCs/>
          <w:sz w:val="24"/>
          <w:szCs w:val="24"/>
        </w:rPr>
        <w:t>propias de la época de invierno</w:t>
      </w:r>
      <w:r w:rsidR="005E2DC2" w:rsidRPr="0030006E">
        <w:rPr>
          <w:rFonts w:ascii="Times New Roman" w:hAnsi="Times New Roman" w:cs="Times New Roman"/>
          <w:bCs/>
          <w:sz w:val="24"/>
          <w:szCs w:val="24"/>
        </w:rPr>
        <w:t>,</w:t>
      </w:r>
      <w:r w:rsidR="00BE6365" w:rsidRPr="0030006E">
        <w:rPr>
          <w:rFonts w:ascii="Times New Roman" w:hAnsi="Times New Roman" w:cs="Times New Roman"/>
          <w:bCs/>
          <w:sz w:val="24"/>
          <w:szCs w:val="24"/>
        </w:rPr>
        <w:t xml:space="preserve"> y</w:t>
      </w:r>
      <w:r w:rsidR="005E2DC2" w:rsidRPr="0030006E">
        <w:rPr>
          <w:rFonts w:ascii="Times New Roman" w:hAnsi="Times New Roman" w:cs="Times New Roman"/>
          <w:bCs/>
          <w:sz w:val="24"/>
          <w:szCs w:val="24"/>
        </w:rPr>
        <w:t xml:space="preserve"> le han suspendido sin justificación alguna su salida a talleres a los cuales acudía. Debe afrontar el atropello de otros presos, los cuales consisten en amenazas de muerte, robo de pertenencias personales, comida y medicamentos que le acerca la madre, violencia física, entre otras.</w:t>
      </w:r>
    </w:p>
    <w:p w14:paraId="4F58C8A6" w14:textId="77777777" w:rsidR="008E73F7" w:rsidRPr="0030006E" w:rsidRDefault="005A38FF" w:rsidP="0030006E">
      <w:pPr>
        <w:spacing w:line="360" w:lineRule="auto"/>
        <w:jc w:val="both"/>
        <w:rPr>
          <w:rFonts w:ascii="Times New Roman" w:hAnsi="Times New Roman" w:cs="Times New Roman"/>
          <w:bCs/>
          <w:sz w:val="24"/>
          <w:szCs w:val="24"/>
        </w:rPr>
      </w:pPr>
      <w:r w:rsidRPr="0030006E">
        <w:rPr>
          <w:rFonts w:ascii="Times New Roman" w:hAnsi="Times New Roman" w:cs="Times New Roman"/>
          <w:bCs/>
          <w:sz w:val="24"/>
          <w:szCs w:val="24"/>
        </w:rPr>
        <w:t xml:space="preserve">     </w:t>
      </w:r>
      <w:r w:rsidR="00146766" w:rsidRPr="0030006E">
        <w:rPr>
          <w:rFonts w:ascii="Times New Roman" w:hAnsi="Times New Roman" w:cs="Times New Roman"/>
          <w:bCs/>
          <w:sz w:val="24"/>
          <w:szCs w:val="24"/>
        </w:rPr>
        <w:t>L</w:t>
      </w:r>
      <w:r w:rsidR="008E73F7" w:rsidRPr="0030006E">
        <w:rPr>
          <w:rFonts w:ascii="Times New Roman" w:hAnsi="Times New Roman" w:cs="Times New Roman"/>
          <w:bCs/>
          <w:sz w:val="24"/>
          <w:szCs w:val="24"/>
        </w:rPr>
        <w:t>a preocupación e interés</w:t>
      </w:r>
      <w:r w:rsidR="00974D38" w:rsidRPr="0030006E">
        <w:rPr>
          <w:rFonts w:ascii="Times New Roman" w:hAnsi="Times New Roman" w:cs="Times New Roman"/>
          <w:bCs/>
          <w:sz w:val="24"/>
          <w:szCs w:val="24"/>
        </w:rPr>
        <w:t xml:space="preserve"> por la situación de </w:t>
      </w:r>
      <w:r w:rsidR="00C82FC5" w:rsidRPr="0030006E">
        <w:rPr>
          <w:rFonts w:ascii="Times New Roman" w:hAnsi="Times New Roman" w:cs="Times New Roman"/>
          <w:bCs/>
          <w:sz w:val="24"/>
          <w:szCs w:val="24"/>
        </w:rPr>
        <w:t xml:space="preserve">Emanuel </w:t>
      </w:r>
      <w:r w:rsidR="00146766" w:rsidRPr="0030006E">
        <w:rPr>
          <w:rFonts w:ascii="Times New Roman" w:hAnsi="Times New Roman" w:cs="Times New Roman"/>
          <w:bCs/>
          <w:sz w:val="24"/>
          <w:szCs w:val="24"/>
        </w:rPr>
        <w:t>ha llegado a varios espacios institucionales.</w:t>
      </w:r>
      <w:r w:rsidR="008E73F7" w:rsidRPr="0030006E">
        <w:rPr>
          <w:rFonts w:ascii="Times New Roman" w:hAnsi="Times New Roman" w:cs="Times New Roman"/>
          <w:bCs/>
          <w:sz w:val="24"/>
          <w:szCs w:val="24"/>
        </w:rPr>
        <w:t xml:space="preserve"> </w:t>
      </w:r>
      <w:r w:rsidR="00146766" w:rsidRPr="0030006E">
        <w:rPr>
          <w:rFonts w:ascii="Times New Roman" w:hAnsi="Times New Roman" w:cs="Times New Roman"/>
          <w:bCs/>
          <w:sz w:val="24"/>
          <w:szCs w:val="24"/>
        </w:rPr>
        <w:t>L</w:t>
      </w:r>
      <w:r w:rsidR="008E73F7" w:rsidRPr="0030006E">
        <w:rPr>
          <w:rFonts w:ascii="Times New Roman" w:hAnsi="Times New Roman" w:cs="Times New Roman"/>
          <w:bCs/>
          <w:sz w:val="24"/>
          <w:szCs w:val="24"/>
        </w:rPr>
        <w:t>a Subsecretaría de Derechos Humanos de las Personas Privadas de libertad, perteneciente a la Suprema Corte de Justicia de la Provincia de Buenos Aires a cargo del Dr. Martín Lorat</w:t>
      </w:r>
      <w:r w:rsidR="00146766" w:rsidRPr="0030006E">
        <w:rPr>
          <w:rFonts w:ascii="Times New Roman" w:hAnsi="Times New Roman" w:cs="Times New Roman"/>
          <w:bCs/>
          <w:sz w:val="24"/>
          <w:szCs w:val="24"/>
        </w:rPr>
        <w:t xml:space="preserve">, </w:t>
      </w:r>
      <w:r w:rsidR="008E73F7" w:rsidRPr="0030006E">
        <w:rPr>
          <w:rFonts w:ascii="Times New Roman" w:hAnsi="Times New Roman" w:cs="Times New Roman"/>
          <w:bCs/>
          <w:sz w:val="24"/>
          <w:szCs w:val="24"/>
        </w:rPr>
        <w:t>solicit</w:t>
      </w:r>
      <w:r w:rsidR="00146766" w:rsidRPr="0030006E">
        <w:rPr>
          <w:rFonts w:ascii="Times New Roman" w:hAnsi="Times New Roman" w:cs="Times New Roman"/>
          <w:bCs/>
          <w:sz w:val="24"/>
          <w:szCs w:val="24"/>
        </w:rPr>
        <w:t>ó</w:t>
      </w:r>
      <w:r w:rsidR="008E73F7" w:rsidRPr="0030006E">
        <w:rPr>
          <w:rFonts w:ascii="Times New Roman" w:hAnsi="Times New Roman" w:cs="Times New Roman"/>
          <w:bCs/>
          <w:sz w:val="24"/>
          <w:szCs w:val="24"/>
        </w:rPr>
        <w:t xml:space="preserve"> una serie de informes médicos</w:t>
      </w:r>
      <w:r w:rsidR="00974D38" w:rsidRPr="0030006E">
        <w:rPr>
          <w:rFonts w:ascii="Times New Roman" w:hAnsi="Times New Roman" w:cs="Times New Roman"/>
          <w:bCs/>
          <w:sz w:val="24"/>
          <w:szCs w:val="24"/>
        </w:rPr>
        <w:t xml:space="preserve"> sobre el estado de salud de </w:t>
      </w:r>
      <w:r w:rsidR="00C82FC5" w:rsidRPr="0030006E">
        <w:rPr>
          <w:rFonts w:ascii="Times New Roman" w:hAnsi="Times New Roman" w:cs="Times New Roman"/>
          <w:bCs/>
          <w:sz w:val="24"/>
          <w:szCs w:val="24"/>
        </w:rPr>
        <w:t>Silva</w:t>
      </w:r>
      <w:r w:rsidR="00974D38" w:rsidRPr="0030006E">
        <w:rPr>
          <w:rFonts w:ascii="Times New Roman" w:hAnsi="Times New Roman" w:cs="Times New Roman"/>
          <w:bCs/>
          <w:sz w:val="24"/>
          <w:szCs w:val="24"/>
        </w:rPr>
        <w:t xml:space="preserve"> (expte N° 139/16)</w:t>
      </w:r>
      <w:r w:rsidR="008E73F7" w:rsidRPr="0030006E">
        <w:rPr>
          <w:rFonts w:ascii="Times New Roman" w:hAnsi="Times New Roman" w:cs="Times New Roman"/>
          <w:bCs/>
          <w:sz w:val="24"/>
          <w:szCs w:val="24"/>
        </w:rPr>
        <w:t xml:space="preserve"> a los distintos espacios institucionales del Estado responsables de la salud de las personas privadas de libertad.</w:t>
      </w:r>
    </w:p>
    <w:p w14:paraId="1C165BB4" w14:textId="77777777" w:rsidR="005A38FF" w:rsidRPr="0030006E" w:rsidRDefault="005A38FF" w:rsidP="0030006E">
      <w:pPr>
        <w:spacing w:line="360" w:lineRule="auto"/>
        <w:jc w:val="both"/>
        <w:rPr>
          <w:rFonts w:ascii="Times New Roman" w:hAnsi="Times New Roman" w:cs="Times New Roman"/>
          <w:bCs/>
          <w:sz w:val="24"/>
          <w:szCs w:val="24"/>
        </w:rPr>
      </w:pPr>
      <w:r w:rsidRPr="0030006E">
        <w:rPr>
          <w:rFonts w:ascii="Times New Roman" w:hAnsi="Times New Roman" w:cs="Times New Roman"/>
          <w:bCs/>
          <w:sz w:val="24"/>
          <w:szCs w:val="24"/>
        </w:rPr>
        <w:t xml:space="preserve">     </w:t>
      </w:r>
      <w:r w:rsidR="00753E3B" w:rsidRPr="0030006E">
        <w:rPr>
          <w:rFonts w:ascii="Times New Roman" w:hAnsi="Times New Roman" w:cs="Times New Roman"/>
          <w:bCs/>
          <w:sz w:val="24"/>
          <w:szCs w:val="24"/>
        </w:rPr>
        <w:t xml:space="preserve">En los días que corren, se aguarda la ejecución de la resolución que da lugar a la morigeración. </w:t>
      </w:r>
      <w:r w:rsidR="005B6BA1" w:rsidRPr="0030006E">
        <w:rPr>
          <w:rFonts w:ascii="Times New Roman" w:hAnsi="Times New Roman" w:cs="Times New Roman"/>
          <w:bCs/>
          <w:sz w:val="24"/>
          <w:szCs w:val="24"/>
        </w:rPr>
        <w:t>Desde</w:t>
      </w:r>
      <w:r w:rsidR="00753E3B" w:rsidRPr="0030006E">
        <w:rPr>
          <w:rFonts w:ascii="Times New Roman" w:hAnsi="Times New Roman" w:cs="Times New Roman"/>
          <w:bCs/>
          <w:sz w:val="24"/>
          <w:szCs w:val="24"/>
        </w:rPr>
        <w:t xml:space="preserve"> el Tribunal Criminal, órgano que rechazó</w:t>
      </w:r>
      <w:r w:rsidR="008921F7" w:rsidRPr="0030006E">
        <w:rPr>
          <w:rFonts w:ascii="Times New Roman" w:hAnsi="Times New Roman" w:cs="Times New Roman"/>
          <w:bCs/>
          <w:sz w:val="24"/>
          <w:szCs w:val="24"/>
        </w:rPr>
        <w:t xml:space="preserve"> en dos oportunidades</w:t>
      </w:r>
      <w:r w:rsidR="00753E3B" w:rsidRPr="0030006E">
        <w:rPr>
          <w:rFonts w:ascii="Times New Roman" w:hAnsi="Times New Roman" w:cs="Times New Roman"/>
          <w:bCs/>
          <w:sz w:val="24"/>
          <w:szCs w:val="24"/>
        </w:rPr>
        <w:t xml:space="preserve"> la prisión domiciliaria y quien, pese a lo paradójico que resulte, es el encargado de activar el cumplimiento de dicha sentencia</w:t>
      </w:r>
      <w:r w:rsidR="008921F7" w:rsidRPr="0030006E">
        <w:rPr>
          <w:rFonts w:ascii="Times New Roman" w:hAnsi="Times New Roman" w:cs="Times New Roman"/>
          <w:bCs/>
          <w:sz w:val="24"/>
          <w:szCs w:val="24"/>
        </w:rPr>
        <w:t>,</w:t>
      </w:r>
      <w:r w:rsidR="00753E3B" w:rsidRPr="0030006E">
        <w:rPr>
          <w:rFonts w:ascii="Times New Roman" w:hAnsi="Times New Roman" w:cs="Times New Roman"/>
          <w:bCs/>
          <w:sz w:val="24"/>
          <w:szCs w:val="24"/>
        </w:rPr>
        <w:t xml:space="preserve"> nos informan que ya emitieron los informes al SPB para que tramite la llegada de </w:t>
      </w:r>
      <w:r w:rsidR="00C82FC5" w:rsidRPr="0030006E">
        <w:rPr>
          <w:rFonts w:ascii="Times New Roman" w:hAnsi="Times New Roman" w:cs="Times New Roman"/>
          <w:bCs/>
          <w:sz w:val="24"/>
          <w:szCs w:val="24"/>
        </w:rPr>
        <w:t xml:space="preserve">Emanuel </w:t>
      </w:r>
      <w:r w:rsidR="00753E3B" w:rsidRPr="0030006E">
        <w:rPr>
          <w:rFonts w:ascii="Times New Roman" w:hAnsi="Times New Roman" w:cs="Times New Roman"/>
          <w:bCs/>
          <w:sz w:val="24"/>
          <w:szCs w:val="24"/>
        </w:rPr>
        <w:t>a su hogar.</w:t>
      </w:r>
      <w:r w:rsidR="00F8124D" w:rsidRPr="0030006E">
        <w:rPr>
          <w:rFonts w:ascii="Times New Roman" w:hAnsi="Times New Roman" w:cs="Times New Roman"/>
          <w:bCs/>
          <w:sz w:val="24"/>
          <w:szCs w:val="24"/>
        </w:rPr>
        <w:t xml:space="preserve"> Pese a la orden, los tiempos se dilatan y no se cumple lo dictaminado en la instancia jerárquica. </w:t>
      </w:r>
      <w:r w:rsidR="005B6BA1" w:rsidRPr="0030006E">
        <w:rPr>
          <w:rFonts w:ascii="Times New Roman" w:hAnsi="Times New Roman" w:cs="Times New Roman"/>
          <w:bCs/>
          <w:sz w:val="24"/>
          <w:szCs w:val="24"/>
        </w:rPr>
        <w:t>El Tribunal que lo condenó, es el que lo quiere “adentro”, institucionalizado en el lugar encargado de albergar a los otros, los que dañan al cuerpo social</w:t>
      </w:r>
      <w:r w:rsidR="00ED4224" w:rsidRPr="0030006E">
        <w:rPr>
          <w:rFonts w:ascii="Times New Roman" w:hAnsi="Times New Roman" w:cs="Times New Roman"/>
          <w:bCs/>
          <w:sz w:val="24"/>
          <w:szCs w:val="24"/>
        </w:rPr>
        <w:t>: l</w:t>
      </w:r>
      <w:r w:rsidR="00F8124D" w:rsidRPr="0030006E">
        <w:rPr>
          <w:rFonts w:ascii="Times New Roman" w:hAnsi="Times New Roman" w:cs="Times New Roman"/>
          <w:bCs/>
          <w:sz w:val="24"/>
          <w:szCs w:val="24"/>
        </w:rPr>
        <w:t>a persecución de la pobreza</w:t>
      </w:r>
      <w:r w:rsidR="00ED4224" w:rsidRPr="0030006E">
        <w:rPr>
          <w:rFonts w:ascii="Times New Roman" w:hAnsi="Times New Roman" w:cs="Times New Roman"/>
          <w:bCs/>
          <w:sz w:val="24"/>
          <w:szCs w:val="24"/>
        </w:rPr>
        <w:t>,</w:t>
      </w:r>
      <w:r w:rsidR="008921F7" w:rsidRPr="0030006E">
        <w:rPr>
          <w:rFonts w:ascii="Times New Roman" w:hAnsi="Times New Roman" w:cs="Times New Roman"/>
          <w:bCs/>
          <w:sz w:val="24"/>
          <w:szCs w:val="24"/>
        </w:rPr>
        <w:t xml:space="preserve"> que tiene como consecuencia </w:t>
      </w:r>
      <w:r w:rsidR="00ED4224" w:rsidRPr="0030006E">
        <w:rPr>
          <w:rFonts w:ascii="Times New Roman" w:hAnsi="Times New Roman" w:cs="Times New Roman"/>
          <w:bCs/>
          <w:sz w:val="24"/>
          <w:szCs w:val="24"/>
        </w:rPr>
        <w:t>los números</w:t>
      </w:r>
      <w:r w:rsidR="008921F7" w:rsidRPr="0030006E">
        <w:rPr>
          <w:rFonts w:ascii="Times New Roman" w:hAnsi="Times New Roman" w:cs="Times New Roman"/>
          <w:bCs/>
          <w:sz w:val="24"/>
          <w:szCs w:val="24"/>
        </w:rPr>
        <w:t xml:space="preserve"> impactantes de los privados de </w:t>
      </w:r>
      <w:r w:rsidR="00ED4224" w:rsidRPr="0030006E">
        <w:rPr>
          <w:rFonts w:ascii="Times New Roman" w:hAnsi="Times New Roman" w:cs="Times New Roman"/>
          <w:bCs/>
          <w:sz w:val="24"/>
          <w:szCs w:val="24"/>
        </w:rPr>
        <w:t>libertad</w:t>
      </w:r>
      <w:r w:rsidR="008921F7" w:rsidRPr="0030006E">
        <w:rPr>
          <w:rFonts w:ascii="Times New Roman" w:hAnsi="Times New Roman" w:cs="Times New Roman"/>
          <w:bCs/>
          <w:sz w:val="24"/>
          <w:szCs w:val="24"/>
        </w:rPr>
        <w:t xml:space="preserve"> dentro del sistema</w:t>
      </w:r>
      <w:r w:rsidR="00ED4224" w:rsidRPr="0030006E">
        <w:rPr>
          <w:rFonts w:ascii="Times New Roman" w:hAnsi="Times New Roman" w:cs="Times New Roman"/>
          <w:bCs/>
          <w:sz w:val="24"/>
          <w:szCs w:val="24"/>
        </w:rPr>
        <w:t xml:space="preserve">, le brinda productividad </w:t>
      </w:r>
      <w:r w:rsidR="008921F7" w:rsidRPr="0030006E">
        <w:rPr>
          <w:rFonts w:ascii="Times New Roman" w:hAnsi="Times New Roman" w:cs="Times New Roman"/>
          <w:bCs/>
          <w:sz w:val="24"/>
          <w:szCs w:val="24"/>
        </w:rPr>
        <w:t>y legitimid</w:t>
      </w:r>
      <w:r w:rsidR="00ED4224" w:rsidRPr="0030006E">
        <w:rPr>
          <w:rFonts w:ascii="Times New Roman" w:hAnsi="Times New Roman" w:cs="Times New Roman"/>
          <w:bCs/>
          <w:sz w:val="24"/>
          <w:szCs w:val="24"/>
        </w:rPr>
        <w:t>a</w:t>
      </w:r>
      <w:r w:rsidR="008921F7" w:rsidRPr="0030006E">
        <w:rPr>
          <w:rFonts w:ascii="Times New Roman" w:hAnsi="Times New Roman" w:cs="Times New Roman"/>
          <w:bCs/>
          <w:sz w:val="24"/>
          <w:szCs w:val="24"/>
        </w:rPr>
        <w:t>d a</w:t>
      </w:r>
      <w:r w:rsidR="00ED4224" w:rsidRPr="0030006E">
        <w:rPr>
          <w:rFonts w:ascii="Times New Roman" w:hAnsi="Times New Roman" w:cs="Times New Roman"/>
          <w:bCs/>
          <w:sz w:val="24"/>
          <w:szCs w:val="24"/>
        </w:rPr>
        <w:t xml:space="preserve"> los que administran justicia.</w:t>
      </w:r>
      <w:r w:rsidR="00F8124D" w:rsidRPr="0030006E">
        <w:rPr>
          <w:rFonts w:ascii="Times New Roman" w:hAnsi="Times New Roman" w:cs="Times New Roman"/>
          <w:bCs/>
          <w:sz w:val="24"/>
          <w:szCs w:val="24"/>
        </w:rPr>
        <w:t xml:space="preserve"> </w:t>
      </w:r>
    </w:p>
    <w:p w14:paraId="20C8C23D" w14:textId="77777777" w:rsidR="004F36BD" w:rsidRPr="0030006E" w:rsidRDefault="005A38FF" w:rsidP="0030006E">
      <w:pPr>
        <w:pStyle w:val="ListParagraph"/>
        <w:numPr>
          <w:ilvl w:val="0"/>
          <w:numId w:val="3"/>
        </w:numPr>
        <w:spacing w:line="360" w:lineRule="auto"/>
        <w:jc w:val="both"/>
        <w:rPr>
          <w:rFonts w:ascii="Times New Roman" w:hAnsi="Times New Roman" w:cs="Times New Roman"/>
          <w:b/>
          <w:bCs/>
          <w:i/>
          <w:sz w:val="24"/>
          <w:szCs w:val="24"/>
        </w:rPr>
      </w:pPr>
      <w:r w:rsidRPr="0030006E">
        <w:rPr>
          <w:rFonts w:ascii="Times New Roman" w:hAnsi="Times New Roman" w:cs="Times New Roman"/>
          <w:b/>
          <w:bCs/>
          <w:i/>
          <w:sz w:val="24"/>
          <w:szCs w:val="24"/>
        </w:rPr>
        <w:t>¿5</w:t>
      </w:r>
      <w:r w:rsidR="000C45FB" w:rsidRPr="0030006E">
        <w:rPr>
          <w:rFonts w:ascii="Times New Roman" w:hAnsi="Times New Roman" w:cs="Times New Roman"/>
          <w:b/>
          <w:bCs/>
          <w:i/>
          <w:sz w:val="24"/>
          <w:szCs w:val="24"/>
        </w:rPr>
        <w:t xml:space="preserve"> Siglos de qué?</w:t>
      </w:r>
      <w:r w:rsidR="00A007B1" w:rsidRPr="0030006E">
        <w:rPr>
          <w:rStyle w:val="FootnoteReference"/>
          <w:rFonts w:ascii="Times New Roman" w:hAnsi="Times New Roman" w:cs="Times New Roman"/>
          <w:b/>
          <w:bCs/>
          <w:i/>
          <w:sz w:val="24"/>
          <w:szCs w:val="24"/>
        </w:rPr>
        <w:footnoteReference w:id="11"/>
      </w:r>
    </w:p>
    <w:p w14:paraId="50D05A54" w14:textId="77777777" w:rsidR="00ED345A" w:rsidRPr="0030006E" w:rsidRDefault="00786C1A" w:rsidP="0030006E">
      <w:pPr>
        <w:spacing w:line="360" w:lineRule="auto"/>
        <w:ind w:left="2268"/>
        <w:jc w:val="both"/>
        <w:rPr>
          <w:rFonts w:ascii="Times New Roman" w:hAnsi="Times New Roman" w:cs="Times New Roman"/>
          <w:sz w:val="24"/>
          <w:szCs w:val="24"/>
        </w:rPr>
      </w:pPr>
      <w:r w:rsidRPr="0030006E">
        <w:rPr>
          <w:rFonts w:ascii="Times New Roman" w:hAnsi="Times New Roman" w:cs="Times New Roman"/>
          <w:sz w:val="24"/>
          <w:szCs w:val="24"/>
        </w:rPr>
        <w:t xml:space="preserve">“El descubrimiento imperial tiene dos dimensiones: una empírica, el acto de descubrir, y otra conceptual, la idea de lo que se descubre. Contrariamente a lo que puede pensarse, la dimensión conceptual precede a la empírica: la idea sobre lo que se descubre comanda el acto del descubrimiento y sus derivaciones. La especificidad de la dimensión conceptual de los </w:t>
      </w:r>
      <w:r w:rsidRPr="0030006E">
        <w:rPr>
          <w:rFonts w:ascii="Times New Roman" w:hAnsi="Times New Roman" w:cs="Times New Roman"/>
          <w:sz w:val="24"/>
          <w:szCs w:val="24"/>
        </w:rPr>
        <w:lastRenderedPageBreak/>
        <w:t>descubrimientos imperiales es la idea de la inferioridad del otro. El descubrimiento no se limita a establecer esa inferioridad sino que la legitima y la profundiza. Lo que se descubre está lejos, abajo y en los márgenes, y esa “ubicación” es la clave para justificar las relaciones entre descubridor y descubierto. La producción de la inferioridad es crucial para sustentar el descubrimiento imperial y por eso es necesario recorrer múltiples estrategias de inferiorización”</w:t>
      </w:r>
      <w:r w:rsidR="00FD2E7B" w:rsidRPr="0030006E">
        <w:rPr>
          <w:rFonts w:ascii="Times New Roman" w:hAnsi="Times New Roman" w:cs="Times New Roman"/>
          <w:sz w:val="24"/>
          <w:szCs w:val="24"/>
        </w:rPr>
        <w:t>(SANTOS, 2007, p. 140).</w:t>
      </w:r>
    </w:p>
    <w:p w14:paraId="64261CE2" w14:textId="77777777" w:rsidR="00E27EEA" w:rsidRPr="0030006E" w:rsidRDefault="00FD2E7B" w:rsidP="0030006E">
      <w:pPr>
        <w:spacing w:line="360" w:lineRule="auto"/>
        <w:jc w:val="both"/>
        <w:rPr>
          <w:rFonts w:ascii="Times New Roman" w:hAnsi="Times New Roman" w:cs="Times New Roman"/>
          <w:bCs/>
          <w:sz w:val="24"/>
          <w:szCs w:val="24"/>
        </w:rPr>
      </w:pPr>
      <w:r w:rsidRPr="0030006E">
        <w:rPr>
          <w:rFonts w:ascii="Times New Roman" w:hAnsi="Times New Roman" w:cs="Times New Roman"/>
          <w:bCs/>
          <w:sz w:val="24"/>
          <w:szCs w:val="24"/>
        </w:rPr>
        <w:t xml:space="preserve">     </w:t>
      </w:r>
      <w:r w:rsidR="00A81606" w:rsidRPr="0030006E">
        <w:rPr>
          <w:rFonts w:ascii="Times New Roman" w:hAnsi="Times New Roman" w:cs="Times New Roman"/>
          <w:bCs/>
          <w:sz w:val="24"/>
          <w:szCs w:val="24"/>
        </w:rPr>
        <w:t xml:space="preserve"> </w:t>
      </w:r>
      <w:r w:rsidR="009B5EE4" w:rsidRPr="0030006E">
        <w:rPr>
          <w:rFonts w:ascii="Times New Roman" w:hAnsi="Times New Roman" w:cs="Times New Roman"/>
          <w:bCs/>
          <w:sz w:val="24"/>
          <w:szCs w:val="24"/>
        </w:rPr>
        <w:t>L</w:t>
      </w:r>
      <w:r w:rsidR="0092417F" w:rsidRPr="0030006E">
        <w:rPr>
          <w:rFonts w:ascii="Times New Roman" w:hAnsi="Times New Roman" w:cs="Times New Roman"/>
          <w:bCs/>
          <w:sz w:val="24"/>
          <w:szCs w:val="24"/>
        </w:rPr>
        <w:t>a provincia de Formosa,</w:t>
      </w:r>
      <w:r w:rsidR="009B5EE4" w:rsidRPr="0030006E">
        <w:rPr>
          <w:rFonts w:ascii="Times New Roman" w:hAnsi="Times New Roman" w:cs="Times New Roman"/>
          <w:bCs/>
          <w:sz w:val="24"/>
          <w:szCs w:val="24"/>
        </w:rPr>
        <w:t xml:space="preserve"> al norte de Argentina, es un territorio feudal gobernado por la misma familia hace décadas, lo que presenta realidades y situaciones de lo más críticas.</w:t>
      </w:r>
      <w:r w:rsidR="00B94B36" w:rsidRPr="0030006E">
        <w:rPr>
          <w:rFonts w:ascii="Times New Roman" w:hAnsi="Times New Roman" w:cs="Times New Roman"/>
          <w:bCs/>
          <w:sz w:val="24"/>
          <w:szCs w:val="24"/>
        </w:rPr>
        <w:t xml:space="preserve"> Los grandes terratenientes de la zona</w:t>
      </w:r>
      <w:r w:rsidR="006B1AF5" w:rsidRPr="0030006E">
        <w:rPr>
          <w:rFonts w:ascii="Times New Roman" w:hAnsi="Times New Roman" w:cs="Times New Roman"/>
          <w:bCs/>
          <w:sz w:val="24"/>
          <w:szCs w:val="24"/>
        </w:rPr>
        <w:t xml:space="preserve"> y el poder judicial a través de las innumerables causas que activa contra los hermanos/as indígenas</w:t>
      </w:r>
      <w:r w:rsidR="00B94B36" w:rsidRPr="0030006E">
        <w:rPr>
          <w:rFonts w:ascii="Times New Roman" w:hAnsi="Times New Roman" w:cs="Times New Roman"/>
          <w:bCs/>
          <w:sz w:val="24"/>
          <w:szCs w:val="24"/>
        </w:rPr>
        <w:t xml:space="preserve">, </w:t>
      </w:r>
      <w:r w:rsidR="00C403B8" w:rsidRPr="0030006E">
        <w:rPr>
          <w:rFonts w:ascii="Times New Roman" w:hAnsi="Times New Roman" w:cs="Times New Roman"/>
          <w:bCs/>
          <w:sz w:val="24"/>
          <w:szCs w:val="24"/>
        </w:rPr>
        <w:t>son determinantes en el aire</w:t>
      </w:r>
      <w:r w:rsidR="00B94B36" w:rsidRPr="0030006E">
        <w:rPr>
          <w:rFonts w:ascii="Times New Roman" w:hAnsi="Times New Roman" w:cs="Times New Roman"/>
          <w:bCs/>
          <w:sz w:val="24"/>
          <w:szCs w:val="24"/>
        </w:rPr>
        <w:t xml:space="preserve"> cultural que funciona como caldo d</w:t>
      </w:r>
      <w:r w:rsidR="00C403B8" w:rsidRPr="0030006E">
        <w:rPr>
          <w:rFonts w:ascii="Times New Roman" w:hAnsi="Times New Roman" w:cs="Times New Roman"/>
          <w:bCs/>
          <w:sz w:val="24"/>
          <w:szCs w:val="24"/>
        </w:rPr>
        <w:t>e</w:t>
      </w:r>
      <w:r w:rsidR="00B94B36" w:rsidRPr="0030006E">
        <w:rPr>
          <w:rFonts w:ascii="Times New Roman" w:hAnsi="Times New Roman" w:cs="Times New Roman"/>
          <w:bCs/>
          <w:sz w:val="24"/>
          <w:szCs w:val="24"/>
        </w:rPr>
        <w:t xml:space="preserve"> cultivo del imaginario social y</w:t>
      </w:r>
      <w:r w:rsidR="00C403B8" w:rsidRPr="0030006E">
        <w:rPr>
          <w:rFonts w:ascii="Times New Roman" w:hAnsi="Times New Roman" w:cs="Times New Roman"/>
          <w:bCs/>
          <w:sz w:val="24"/>
          <w:szCs w:val="24"/>
        </w:rPr>
        <w:t xml:space="preserve"> sus</w:t>
      </w:r>
      <w:r w:rsidR="00D12999" w:rsidRPr="0030006E">
        <w:rPr>
          <w:rFonts w:ascii="Times New Roman" w:hAnsi="Times New Roman" w:cs="Times New Roman"/>
          <w:bCs/>
          <w:sz w:val="24"/>
          <w:szCs w:val="24"/>
        </w:rPr>
        <w:t xml:space="preserve"> discursos. Dichos propietarios de la tierra y funcionarios judiciales, muchas veces están representados en una misma persona o, se diferencia</w:t>
      </w:r>
      <w:r w:rsidR="00911ABD" w:rsidRPr="0030006E">
        <w:rPr>
          <w:rFonts w:ascii="Times New Roman" w:hAnsi="Times New Roman" w:cs="Times New Roman"/>
          <w:bCs/>
          <w:sz w:val="24"/>
          <w:szCs w:val="24"/>
        </w:rPr>
        <w:t>n</w:t>
      </w:r>
      <w:r w:rsidR="00D12999" w:rsidRPr="0030006E">
        <w:rPr>
          <w:rFonts w:ascii="Times New Roman" w:hAnsi="Times New Roman" w:cs="Times New Roman"/>
          <w:bCs/>
          <w:sz w:val="24"/>
          <w:szCs w:val="24"/>
        </w:rPr>
        <w:t xml:space="preserve"> en identidad corporal pero se identifican en la identidad de sus intereses, conformando una mafia de poder cuyo fin es ampliar la frontera productiva de sus campos, usurpando y despojando a los verdaderos dueños de la tierra. P</w:t>
      </w:r>
      <w:r w:rsidR="00E27EEA" w:rsidRPr="0030006E">
        <w:rPr>
          <w:rFonts w:ascii="Times New Roman" w:hAnsi="Times New Roman" w:cs="Times New Roman"/>
          <w:bCs/>
          <w:sz w:val="24"/>
          <w:szCs w:val="24"/>
        </w:rPr>
        <w:t>oder económico y poder</w:t>
      </w:r>
      <w:r w:rsidR="006B1AF5" w:rsidRPr="0030006E">
        <w:rPr>
          <w:rFonts w:ascii="Times New Roman" w:hAnsi="Times New Roman" w:cs="Times New Roman"/>
          <w:bCs/>
          <w:sz w:val="24"/>
          <w:szCs w:val="24"/>
        </w:rPr>
        <w:t xml:space="preserve"> políticos,</w:t>
      </w:r>
      <w:r w:rsidR="00D12999" w:rsidRPr="0030006E">
        <w:rPr>
          <w:rFonts w:ascii="Times New Roman" w:hAnsi="Times New Roman" w:cs="Times New Roman"/>
          <w:bCs/>
          <w:sz w:val="24"/>
          <w:szCs w:val="24"/>
        </w:rPr>
        <w:t xml:space="preserve"> construyen un</w:t>
      </w:r>
      <w:r w:rsidR="0076397E" w:rsidRPr="0030006E">
        <w:rPr>
          <w:rFonts w:ascii="Times New Roman" w:hAnsi="Times New Roman" w:cs="Times New Roman"/>
          <w:bCs/>
          <w:sz w:val="24"/>
          <w:szCs w:val="24"/>
        </w:rPr>
        <w:t>a</w:t>
      </w:r>
      <w:r w:rsidR="00D12999" w:rsidRPr="0030006E">
        <w:rPr>
          <w:rFonts w:ascii="Times New Roman" w:hAnsi="Times New Roman" w:cs="Times New Roman"/>
          <w:bCs/>
          <w:sz w:val="24"/>
          <w:szCs w:val="24"/>
        </w:rPr>
        <w:t xml:space="preserve"> red que le tapa el sol y asfixia a los </w:t>
      </w:r>
      <w:r w:rsidR="00E27EEA" w:rsidRPr="0030006E">
        <w:rPr>
          <w:rFonts w:ascii="Times New Roman" w:hAnsi="Times New Roman" w:cs="Times New Roman"/>
          <w:bCs/>
          <w:sz w:val="24"/>
          <w:szCs w:val="24"/>
        </w:rPr>
        <w:t xml:space="preserve">4 pueblos indígenas que habitan la provincia: </w:t>
      </w:r>
      <w:r w:rsidR="0092417F" w:rsidRPr="0030006E">
        <w:rPr>
          <w:rFonts w:ascii="Times New Roman" w:hAnsi="Times New Roman" w:cs="Times New Roman"/>
          <w:bCs/>
          <w:i/>
          <w:sz w:val="24"/>
          <w:szCs w:val="24"/>
        </w:rPr>
        <w:t>Qom, Pilagá, Wichi y Nivaclé</w:t>
      </w:r>
      <w:r w:rsidR="00E27EEA" w:rsidRPr="0030006E">
        <w:rPr>
          <w:rFonts w:ascii="Times New Roman" w:hAnsi="Times New Roman" w:cs="Times New Roman"/>
          <w:bCs/>
          <w:sz w:val="24"/>
          <w:szCs w:val="24"/>
        </w:rPr>
        <w:t>.</w:t>
      </w:r>
    </w:p>
    <w:p w14:paraId="252EF82C" w14:textId="77777777" w:rsidR="0092417F" w:rsidRPr="0030006E" w:rsidRDefault="00FD2E7B" w:rsidP="0030006E">
      <w:pPr>
        <w:spacing w:line="360" w:lineRule="auto"/>
        <w:jc w:val="both"/>
        <w:rPr>
          <w:rFonts w:ascii="Times New Roman" w:hAnsi="Times New Roman" w:cs="Times New Roman"/>
          <w:bCs/>
          <w:sz w:val="24"/>
          <w:szCs w:val="24"/>
        </w:rPr>
      </w:pPr>
      <w:r w:rsidRPr="0030006E">
        <w:rPr>
          <w:rFonts w:ascii="Times New Roman" w:hAnsi="Times New Roman" w:cs="Times New Roman"/>
          <w:bCs/>
          <w:sz w:val="24"/>
          <w:szCs w:val="24"/>
        </w:rPr>
        <w:t xml:space="preserve">     </w:t>
      </w:r>
      <w:r w:rsidR="0092417F" w:rsidRPr="0030006E">
        <w:rPr>
          <w:rFonts w:ascii="Times New Roman" w:hAnsi="Times New Roman" w:cs="Times New Roman"/>
          <w:bCs/>
          <w:sz w:val="24"/>
          <w:szCs w:val="24"/>
        </w:rPr>
        <w:t xml:space="preserve">Históricamente fueron utilizados en la cosecha del algodón y el azúcar y su fuerza de trabajo fue y sigue siendo explotada, pagándoles salarios irrisorios por jornadas de más de 15 horas. A eso se le suma la escases de políticas públicas que fortalezca los sistemas productivos y económicos indígenas (por medio del apoyo a las actividades agrícolas y ganaderas sostenibles, la producción de artesanías, etcétera) alineado a la falta de voluntad política para cubrir las falencias y necesidades de las poblaciones indígenas de dicha provincia. </w:t>
      </w:r>
    </w:p>
    <w:p w14:paraId="15F3834F" w14:textId="77777777" w:rsidR="00581C61" w:rsidRPr="0030006E" w:rsidRDefault="00FD2E7B" w:rsidP="0030006E">
      <w:pPr>
        <w:spacing w:line="360" w:lineRule="auto"/>
        <w:jc w:val="both"/>
        <w:rPr>
          <w:rFonts w:ascii="Times New Roman" w:hAnsi="Times New Roman" w:cs="Times New Roman"/>
          <w:bCs/>
          <w:sz w:val="24"/>
          <w:szCs w:val="24"/>
        </w:rPr>
      </w:pPr>
      <w:r w:rsidRPr="0030006E">
        <w:rPr>
          <w:rFonts w:ascii="Times New Roman" w:hAnsi="Times New Roman" w:cs="Times New Roman"/>
          <w:bCs/>
          <w:sz w:val="24"/>
          <w:szCs w:val="24"/>
        </w:rPr>
        <w:t xml:space="preserve">     </w:t>
      </w:r>
      <w:r w:rsidR="0092417F" w:rsidRPr="0030006E">
        <w:rPr>
          <w:rFonts w:ascii="Times New Roman" w:hAnsi="Times New Roman" w:cs="Times New Roman"/>
          <w:bCs/>
          <w:sz w:val="24"/>
          <w:szCs w:val="24"/>
        </w:rPr>
        <w:t xml:space="preserve">En la última década, la persecución y hostigamiento a la comunidad </w:t>
      </w:r>
      <w:r w:rsidR="0092417F" w:rsidRPr="0030006E">
        <w:rPr>
          <w:rFonts w:ascii="Times New Roman" w:hAnsi="Times New Roman" w:cs="Times New Roman"/>
          <w:bCs/>
          <w:i/>
          <w:sz w:val="24"/>
          <w:szCs w:val="24"/>
        </w:rPr>
        <w:t>Qom Potae Napocna Navogoh</w:t>
      </w:r>
      <w:r w:rsidR="0092417F" w:rsidRPr="0030006E">
        <w:rPr>
          <w:rFonts w:ascii="Times New Roman" w:hAnsi="Times New Roman" w:cs="Times New Roman"/>
          <w:bCs/>
          <w:sz w:val="24"/>
          <w:szCs w:val="24"/>
        </w:rPr>
        <w:t xml:space="preserve"> por parte del poder ejecutivo de Formosa se ha acentuado. En julio de 2010 miembros de la comunidad iniciaron un corte pacífico de la Ruta Nacional 86, denunciando la construcción de la Universidad Nacional de Formosa en p</w:t>
      </w:r>
      <w:r w:rsidR="00581C61" w:rsidRPr="0030006E">
        <w:rPr>
          <w:rFonts w:ascii="Times New Roman" w:hAnsi="Times New Roman" w:cs="Times New Roman"/>
          <w:bCs/>
          <w:sz w:val="24"/>
          <w:szCs w:val="24"/>
        </w:rPr>
        <w:t>arte de su territorio ancestral. Esto significa una</w:t>
      </w:r>
      <w:r w:rsidR="0092417F" w:rsidRPr="0030006E">
        <w:rPr>
          <w:rFonts w:ascii="Times New Roman" w:hAnsi="Times New Roman" w:cs="Times New Roman"/>
          <w:bCs/>
          <w:sz w:val="24"/>
          <w:szCs w:val="24"/>
        </w:rPr>
        <w:t xml:space="preserve"> flagrante violación al derecho a ser consultados de manera previa, libre e informada</w:t>
      </w:r>
      <w:r w:rsidR="00581C61" w:rsidRPr="0030006E">
        <w:rPr>
          <w:rFonts w:ascii="Times New Roman" w:hAnsi="Times New Roman" w:cs="Times New Roman"/>
          <w:bCs/>
          <w:sz w:val="24"/>
          <w:szCs w:val="24"/>
        </w:rPr>
        <w:t xml:space="preserve"> según lo establecido en la normativa internacional vigente en la materia “Los gobiernos deberán consultar a los pueblos </w:t>
      </w:r>
      <w:r w:rsidR="00581C61" w:rsidRPr="0030006E">
        <w:rPr>
          <w:rFonts w:ascii="Times New Roman" w:hAnsi="Times New Roman" w:cs="Times New Roman"/>
          <w:bCs/>
          <w:sz w:val="24"/>
          <w:szCs w:val="24"/>
        </w:rPr>
        <w:lastRenderedPageBreak/>
        <w:t xml:space="preserve">interesados, mediante los procedimientos apropiados […] cada vez que se prevean </w:t>
      </w:r>
      <w:r w:rsidR="0092417F" w:rsidRPr="0030006E">
        <w:rPr>
          <w:rFonts w:ascii="Times New Roman" w:hAnsi="Times New Roman" w:cs="Times New Roman"/>
          <w:bCs/>
          <w:sz w:val="24"/>
          <w:szCs w:val="24"/>
        </w:rPr>
        <w:t>medidas legislativas o administrativas susceptibles de afectarles directamente”</w:t>
      </w:r>
      <w:r w:rsidR="0092417F" w:rsidRPr="0030006E">
        <w:rPr>
          <w:rFonts w:ascii="Times New Roman" w:hAnsi="Times New Roman" w:cs="Times New Roman"/>
          <w:bCs/>
          <w:sz w:val="24"/>
          <w:szCs w:val="24"/>
          <w:vertAlign w:val="superscript"/>
        </w:rPr>
        <w:footnoteReference w:id="12"/>
      </w:r>
      <w:r w:rsidR="0092417F" w:rsidRPr="0030006E">
        <w:rPr>
          <w:rFonts w:ascii="Times New Roman" w:hAnsi="Times New Roman" w:cs="Times New Roman"/>
          <w:bCs/>
          <w:sz w:val="24"/>
          <w:szCs w:val="24"/>
        </w:rPr>
        <w:t xml:space="preserve">. </w:t>
      </w:r>
    </w:p>
    <w:p w14:paraId="3A012094" w14:textId="77777777" w:rsidR="0092417F" w:rsidRPr="0030006E" w:rsidRDefault="00FD2E7B" w:rsidP="0030006E">
      <w:pPr>
        <w:spacing w:line="360" w:lineRule="auto"/>
        <w:jc w:val="both"/>
        <w:rPr>
          <w:rFonts w:ascii="Times New Roman" w:hAnsi="Times New Roman" w:cs="Times New Roman"/>
          <w:bCs/>
          <w:sz w:val="24"/>
          <w:szCs w:val="24"/>
        </w:rPr>
      </w:pPr>
      <w:r w:rsidRPr="0030006E">
        <w:rPr>
          <w:rFonts w:ascii="Times New Roman" w:hAnsi="Times New Roman" w:cs="Times New Roman"/>
          <w:bCs/>
          <w:sz w:val="24"/>
          <w:szCs w:val="24"/>
        </w:rPr>
        <w:t xml:space="preserve">     </w:t>
      </w:r>
      <w:r w:rsidR="00FE2564" w:rsidRPr="0030006E">
        <w:rPr>
          <w:rFonts w:ascii="Times New Roman" w:hAnsi="Times New Roman" w:cs="Times New Roman"/>
          <w:bCs/>
          <w:sz w:val="24"/>
          <w:szCs w:val="24"/>
        </w:rPr>
        <w:t xml:space="preserve">Los hermanos estuvieron bloqueando dicha ruta durante cuatro meses. Resistiendo, acampando y sosteniendo de manera firme su decisión de proteger su vínculo con su territorio ancestral. Será porque sin territorio, no hay comunidad; la misma necesita de un suelo firme donde desarrollar su cosmovisión. </w:t>
      </w:r>
      <w:r w:rsidR="0092417F" w:rsidRPr="0030006E">
        <w:rPr>
          <w:rFonts w:ascii="Times New Roman" w:hAnsi="Times New Roman" w:cs="Times New Roman"/>
          <w:bCs/>
          <w:sz w:val="24"/>
          <w:szCs w:val="24"/>
        </w:rPr>
        <w:t>Luego de cuatro meses, los poco más de 30 miembros de la comunidad que se encontraban manifestándose pacíficamente, fueron reprimidos y desalojados por un operativo descomunal integrado por más de un centenar de miembros de las fuerzas policiales y de seguridad. Tal uso excesivo e irracional de la fuerza pública dejó como saldo varios indígenas heridos (entre los cuales hay niños, mujeres y ancianos) y un muerto</w:t>
      </w:r>
      <w:r w:rsidR="0092417F" w:rsidRPr="0030006E">
        <w:rPr>
          <w:rFonts w:ascii="Times New Roman" w:hAnsi="Times New Roman" w:cs="Times New Roman"/>
          <w:bCs/>
          <w:sz w:val="24"/>
          <w:szCs w:val="24"/>
          <w:vertAlign w:val="superscript"/>
        </w:rPr>
        <w:footnoteReference w:id="13"/>
      </w:r>
      <w:r w:rsidR="0092417F" w:rsidRPr="0030006E">
        <w:rPr>
          <w:rFonts w:ascii="Times New Roman" w:hAnsi="Times New Roman" w:cs="Times New Roman"/>
          <w:bCs/>
          <w:sz w:val="24"/>
          <w:szCs w:val="24"/>
        </w:rPr>
        <w:t xml:space="preserve"> . </w:t>
      </w:r>
    </w:p>
    <w:p w14:paraId="584B8E0E" w14:textId="77777777" w:rsidR="0092417F" w:rsidRPr="0030006E" w:rsidRDefault="00FD2E7B" w:rsidP="0030006E">
      <w:pPr>
        <w:spacing w:line="360" w:lineRule="auto"/>
        <w:jc w:val="both"/>
        <w:rPr>
          <w:rFonts w:ascii="Times New Roman" w:hAnsi="Times New Roman" w:cs="Times New Roman"/>
          <w:bCs/>
          <w:sz w:val="24"/>
          <w:szCs w:val="24"/>
        </w:rPr>
      </w:pPr>
      <w:r w:rsidRPr="0030006E">
        <w:rPr>
          <w:rFonts w:ascii="Times New Roman" w:hAnsi="Times New Roman" w:cs="Times New Roman"/>
          <w:bCs/>
          <w:sz w:val="24"/>
          <w:szCs w:val="24"/>
        </w:rPr>
        <w:t xml:space="preserve">     </w:t>
      </w:r>
      <w:r w:rsidR="0092417F" w:rsidRPr="0030006E">
        <w:rPr>
          <w:rFonts w:ascii="Times New Roman" w:hAnsi="Times New Roman" w:cs="Times New Roman"/>
          <w:bCs/>
          <w:sz w:val="24"/>
          <w:szCs w:val="24"/>
        </w:rPr>
        <w:t>Paradójicamente, se inicia una persecución penal alrededor de los hechos acontecidos ese día, en donde, varios indígenas son acusados penalmente de “atentado a la autoridad a mano armada, lesiones graves y leves e instigación a cometer delitos”</w:t>
      </w:r>
      <w:r w:rsidR="0092417F" w:rsidRPr="0030006E">
        <w:rPr>
          <w:rFonts w:ascii="Times New Roman" w:hAnsi="Times New Roman" w:cs="Times New Roman"/>
          <w:bCs/>
          <w:sz w:val="24"/>
          <w:szCs w:val="24"/>
          <w:vertAlign w:val="superscript"/>
        </w:rPr>
        <w:footnoteReference w:id="14"/>
      </w:r>
      <w:r w:rsidR="0092417F" w:rsidRPr="0030006E">
        <w:rPr>
          <w:rFonts w:ascii="Times New Roman" w:hAnsi="Times New Roman" w:cs="Times New Roman"/>
          <w:bCs/>
          <w:sz w:val="24"/>
          <w:szCs w:val="24"/>
        </w:rPr>
        <w:t>. También, en el mismo día de la represión policial, son quemadas 17 casas de miembros de la comunidad, donde los principales sospechosos son el comisario a cargo de la represión y el juez que emitió la orden de allanamiento de dichas viviendas. Asimismo, la comunidad sufre la persecución de la justicia en otras causas, visto que los acusan de usurpación</w:t>
      </w:r>
      <w:r w:rsidR="0092417F" w:rsidRPr="0030006E">
        <w:rPr>
          <w:rFonts w:ascii="Times New Roman" w:hAnsi="Times New Roman" w:cs="Times New Roman"/>
          <w:bCs/>
          <w:sz w:val="24"/>
          <w:szCs w:val="24"/>
          <w:vertAlign w:val="superscript"/>
        </w:rPr>
        <w:footnoteReference w:id="15"/>
      </w:r>
      <w:r w:rsidR="0092417F" w:rsidRPr="0030006E">
        <w:rPr>
          <w:rFonts w:ascii="Times New Roman" w:hAnsi="Times New Roman" w:cs="Times New Roman"/>
          <w:bCs/>
          <w:sz w:val="24"/>
          <w:szCs w:val="24"/>
        </w:rPr>
        <w:t xml:space="preserve"> de un predio ocupado por una familia criolla y por “robo de armas de fuego y abuso sexual simple</w:t>
      </w:r>
      <w:r w:rsidR="0092417F" w:rsidRPr="0030006E">
        <w:rPr>
          <w:rFonts w:ascii="Times New Roman" w:hAnsi="Times New Roman" w:cs="Times New Roman"/>
          <w:bCs/>
          <w:sz w:val="24"/>
          <w:szCs w:val="24"/>
          <w:vertAlign w:val="superscript"/>
        </w:rPr>
        <w:footnoteReference w:id="16"/>
      </w:r>
      <w:r w:rsidR="0092417F" w:rsidRPr="0030006E">
        <w:rPr>
          <w:rFonts w:ascii="Times New Roman" w:hAnsi="Times New Roman" w:cs="Times New Roman"/>
          <w:bCs/>
          <w:sz w:val="24"/>
          <w:szCs w:val="24"/>
        </w:rPr>
        <w:t>”</w:t>
      </w:r>
    </w:p>
    <w:p w14:paraId="65958314" w14:textId="77777777" w:rsidR="00DB0E7E" w:rsidRPr="0030006E" w:rsidRDefault="00FD2E7B" w:rsidP="0030006E">
      <w:pPr>
        <w:spacing w:line="360" w:lineRule="auto"/>
        <w:jc w:val="both"/>
        <w:rPr>
          <w:rFonts w:ascii="Times New Roman" w:hAnsi="Times New Roman" w:cs="Times New Roman"/>
          <w:bCs/>
          <w:sz w:val="24"/>
          <w:szCs w:val="24"/>
        </w:rPr>
      </w:pPr>
      <w:r w:rsidRPr="0030006E">
        <w:rPr>
          <w:rFonts w:ascii="Times New Roman" w:hAnsi="Times New Roman" w:cs="Times New Roman"/>
          <w:bCs/>
          <w:sz w:val="24"/>
          <w:szCs w:val="24"/>
        </w:rPr>
        <w:t xml:space="preserve">     </w:t>
      </w:r>
      <w:r w:rsidR="00A83AAC" w:rsidRPr="0030006E">
        <w:rPr>
          <w:rFonts w:ascii="Times New Roman" w:hAnsi="Times New Roman" w:cs="Times New Roman"/>
          <w:bCs/>
          <w:sz w:val="24"/>
          <w:szCs w:val="24"/>
        </w:rPr>
        <w:t>Así, l</w:t>
      </w:r>
      <w:r w:rsidR="00977E91" w:rsidRPr="0030006E">
        <w:rPr>
          <w:rFonts w:ascii="Times New Roman" w:hAnsi="Times New Roman" w:cs="Times New Roman"/>
          <w:bCs/>
          <w:sz w:val="24"/>
          <w:szCs w:val="24"/>
        </w:rPr>
        <w:t xml:space="preserve">a inversión de roles es paradójica: los que comenzaron estando en falta, </w:t>
      </w:r>
      <w:r w:rsidR="00A83AAC" w:rsidRPr="0030006E">
        <w:rPr>
          <w:rFonts w:ascii="Times New Roman" w:hAnsi="Times New Roman" w:cs="Times New Roman"/>
          <w:bCs/>
          <w:sz w:val="24"/>
          <w:szCs w:val="24"/>
        </w:rPr>
        <w:t>se convierten en perseguidores; los que comenzaron denunciando son d</w:t>
      </w:r>
      <w:r w:rsidR="00585D77" w:rsidRPr="0030006E">
        <w:rPr>
          <w:rFonts w:ascii="Times New Roman" w:hAnsi="Times New Roman" w:cs="Times New Roman"/>
          <w:bCs/>
          <w:sz w:val="24"/>
          <w:szCs w:val="24"/>
        </w:rPr>
        <w:t>enunciados; los que comenzaron gritan</w:t>
      </w:r>
      <w:r w:rsidR="00A83AAC" w:rsidRPr="0030006E">
        <w:rPr>
          <w:rFonts w:ascii="Times New Roman" w:hAnsi="Times New Roman" w:cs="Times New Roman"/>
          <w:bCs/>
          <w:sz w:val="24"/>
          <w:szCs w:val="24"/>
        </w:rPr>
        <w:t>do, s</w:t>
      </w:r>
      <w:r w:rsidR="00585D77" w:rsidRPr="0030006E">
        <w:rPr>
          <w:rFonts w:ascii="Times New Roman" w:hAnsi="Times New Roman" w:cs="Times New Roman"/>
          <w:bCs/>
          <w:sz w:val="24"/>
          <w:szCs w:val="24"/>
        </w:rPr>
        <w:t>on silenciados</w:t>
      </w:r>
      <w:r w:rsidR="00A83AAC" w:rsidRPr="0030006E">
        <w:rPr>
          <w:rFonts w:ascii="Times New Roman" w:hAnsi="Times New Roman" w:cs="Times New Roman"/>
          <w:bCs/>
          <w:sz w:val="24"/>
          <w:szCs w:val="24"/>
        </w:rPr>
        <w:t>. La comunidad que</w:t>
      </w:r>
      <w:r w:rsidR="00585D77" w:rsidRPr="0030006E">
        <w:rPr>
          <w:rFonts w:ascii="Times New Roman" w:hAnsi="Times New Roman" w:cs="Times New Roman"/>
          <w:bCs/>
          <w:sz w:val="24"/>
          <w:szCs w:val="24"/>
        </w:rPr>
        <w:t xml:space="preserve"> comenzó una lucha de denuncia de</w:t>
      </w:r>
      <w:r w:rsidR="00A83AAC" w:rsidRPr="0030006E">
        <w:rPr>
          <w:rFonts w:ascii="Times New Roman" w:hAnsi="Times New Roman" w:cs="Times New Roman"/>
          <w:bCs/>
          <w:sz w:val="24"/>
          <w:szCs w:val="24"/>
        </w:rPr>
        <w:t xml:space="preserve"> las irregularidades que planeaba llevar a cabo el Estado</w:t>
      </w:r>
      <w:r w:rsidR="00993F39" w:rsidRPr="0030006E">
        <w:rPr>
          <w:rFonts w:ascii="Times New Roman" w:hAnsi="Times New Roman" w:cs="Times New Roman"/>
          <w:bCs/>
          <w:sz w:val="24"/>
          <w:szCs w:val="24"/>
        </w:rPr>
        <w:t xml:space="preserve"> en su territorio ancestral, se convierte en sujeto criminalizado. Pasa a ser perseguido, hostigado y arrinconado por la utilización tramposa y perversa de los cuerpos </w:t>
      </w:r>
      <w:r w:rsidR="00993F39" w:rsidRPr="0030006E">
        <w:rPr>
          <w:rFonts w:ascii="Times New Roman" w:hAnsi="Times New Roman" w:cs="Times New Roman"/>
          <w:bCs/>
          <w:sz w:val="24"/>
          <w:szCs w:val="24"/>
        </w:rPr>
        <w:lastRenderedPageBreak/>
        <w:t>legales.</w:t>
      </w:r>
      <w:r w:rsidR="00F10446" w:rsidRPr="0030006E">
        <w:rPr>
          <w:rFonts w:ascii="Times New Roman" w:hAnsi="Times New Roman" w:cs="Times New Roman"/>
          <w:bCs/>
          <w:sz w:val="24"/>
          <w:szCs w:val="24"/>
        </w:rPr>
        <w:t xml:space="preserve"> Nuevamente el uso</w:t>
      </w:r>
      <w:r w:rsidR="000F0252" w:rsidRPr="0030006E">
        <w:rPr>
          <w:rFonts w:ascii="Times New Roman" w:hAnsi="Times New Roman" w:cs="Times New Roman"/>
          <w:bCs/>
          <w:sz w:val="24"/>
          <w:szCs w:val="24"/>
        </w:rPr>
        <w:t xml:space="preserve"> de la norma como instrumento perfecto para criminalizar la protesta y las luchas de</w:t>
      </w:r>
      <w:r w:rsidR="00585D77" w:rsidRPr="0030006E">
        <w:rPr>
          <w:rFonts w:ascii="Times New Roman" w:hAnsi="Times New Roman" w:cs="Times New Roman"/>
          <w:bCs/>
          <w:sz w:val="24"/>
          <w:szCs w:val="24"/>
        </w:rPr>
        <w:t xml:space="preserve"> los pueblos, por parte de los agentes y funcionarios judiciales.</w:t>
      </w:r>
      <w:r w:rsidR="000F0252" w:rsidRPr="0030006E">
        <w:rPr>
          <w:rFonts w:ascii="Times New Roman" w:hAnsi="Times New Roman" w:cs="Times New Roman"/>
          <w:bCs/>
          <w:sz w:val="24"/>
          <w:szCs w:val="24"/>
        </w:rPr>
        <w:t xml:space="preserve"> </w:t>
      </w:r>
    </w:p>
    <w:p w14:paraId="33D287DC" w14:textId="77777777" w:rsidR="0092417F" w:rsidRPr="0030006E" w:rsidRDefault="00FD2E7B" w:rsidP="0030006E">
      <w:pPr>
        <w:spacing w:line="360" w:lineRule="auto"/>
        <w:jc w:val="both"/>
        <w:rPr>
          <w:rFonts w:ascii="Times New Roman" w:hAnsi="Times New Roman" w:cs="Times New Roman"/>
          <w:bCs/>
          <w:sz w:val="24"/>
          <w:szCs w:val="24"/>
        </w:rPr>
      </w:pPr>
      <w:r w:rsidRPr="0030006E">
        <w:rPr>
          <w:rFonts w:ascii="Times New Roman" w:hAnsi="Times New Roman" w:cs="Times New Roman"/>
          <w:bCs/>
          <w:sz w:val="24"/>
          <w:szCs w:val="24"/>
        </w:rPr>
        <w:t xml:space="preserve">     </w:t>
      </w:r>
      <w:r w:rsidR="00F10446" w:rsidRPr="0030006E">
        <w:rPr>
          <w:rFonts w:ascii="Times New Roman" w:hAnsi="Times New Roman" w:cs="Times New Roman"/>
          <w:bCs/>
          <w:sz w:val="24"/>
          <w:szCs w:val="24"/>
        </w:rPr>
        <w:t>No sólo se castiga, mediante represión, el haber decidido un plan de lucha del territorio ancestral; sino que también, se redobla el castigo al iniciar persecuciones penales de toda índole contra los sujetos involucrados en el plan de resistencia.</w:t>
      </w:r>
      <w:r w:rsidR="00DB0E7E" w:rsidRPr="0030006E">
        <w:rPr>
          <w:rFonts w:ascii="Times New Roman" w:hAnsi="Times New Roman" w:cs="Times New Roman"/>
          <w:bCs/>
          <w:sz w:val="24"/>
          <w:szCs w:val="24"/>
        </w:rPr>
        <w:t xml:space="preserve"> El Estado, desarrolla el plan del h</w:t>
      </w:r>
      <w:r w:rsidR="0092417F" w:rsidRPr="0030006E">
        <w:rPr>
          <w:rFonts w:ascii="Times New Roman" w:hAnsi="Times New Roman" w:cs="Times New Roman"/>
          <w:bCs/>
          <w:sz w:val="24"/>
          <w:szCs w:val="24"/>
        </w:rPr>
        <w:t>ostigamiento</w:t>
      </w:r>
      <w:r w:rsidR="00DB0E7E" w:rsidRPr="0030006E">
        <w:rPr>
          <w:rFonts w:ascii="Times New Roman" w:hAnsi="Times New Roman" w:cs="Times New Roman"/>
          <w:bCs/>
          <w:sz w:val="24"/>
          <w:szCs w:val="24"/>
        </w:rPr>
        <w:t xml:space="preserve">. Existe, en la provincia, </w:t>
      </w:r>
      <w:r w:rsidR="0092417F" w:rsidRPr="0030006E">
        <w:rPr>
          <w:rFonts w:ascii="Times New Roman" w:hAnsi="Times New Roman" w:cs="Times New Roman"/>
          <w:bCs/>
          <w:sz w:val="24"/>
          <w:szCs w:val="24"/>
        </w:rPr>
        <w:t>una práctica de Estado</w:t>
      </w:r>
      <w:r w:rsidR="00DB0E7E" w:rsidRPr="0030006E">
        <w:rPr>
          <w:rFonts w:ascii="Times New Roman" w:hAnsi="Times New Roman" w:cs="Times New Roman"/>
          <w:bCs/>
          <w:sz w:val="24"/>
          <w:szCs w:val="24"/>
        </w:rPr>
        <w:t xml:space="preserve"> de </w:t>
      </w:r>
      <w:r w:rsidR="0092417F" w:rsidRPr="0030006E">
        <w:rPr>
          <w:rFonts w:ascii="Times New Roman" w:hAnsi="Times New Roman" w:cs="Times New Roman"/>
          <w:bCs/>
          <w:sz w:val="24"/>
          <w:szCs w:val="24"/>
        </w:rPr>
        <w:t>desarrolla</w:t>
      </w:r>
      <w:r w:rsidR="00DB0E7E" w:rsidRPr="0030006E">
        <w:rPr>
          <w:rFonts w:ascii="Times New Roman" w:hAnsi="Times New Roman" w:cs="Times New Roman"/>
          <w:bCs/>
          <w:sz w:val="24"/>
          <w:szCs w:val="24"/>
        </w:rPr>
        <w:t>r</w:t>
      </w:r>
      <w:r w:rsidR="0092417F" w:rsidRPr="0030006E">
        <w:rPr>
          <w:rFonts w:ascii="Times New Roman" w:hAnsi="Times New Roman" w:cs="Times New Roman"/>
          <w:bCs/>
          <w:sz w:val="24"/>
          <w:szCs w:val="24"/>
        </w:rPr>
        <w:t xml:space="preserve"> un genocidio silencioso, “invisible” a terceros (in)diferentes. Poco a poco, acción tras acción, a través de prácticas colonizadoras y racistas, el estado juega al silencio y aniquilamiento de los pueblos indígenas.</w:t>
      </w:r>
    </w:p>
    <w:p w14:paraId="2EB2C47C" w14:textId="77777777" w:rsidR="00613BA1" w:rsidRPr="0030006E" w:rsidRDefault="00FD2E7B" w:rsidP="0030006E">
      <w:pPr>
        <w:spacing w:line="360" w:lineRule="auto"/>
        <w:jc w:val="both"/>
        <w:rPr>
          <w:rFonts w:ascii="Times New Roman" w:hAnsi="Times New Roman" w:cs="Times New Roman"/>
          <w:b/>
          <w:bCs/>
          <w:sz w:val="24"/>
          <w:szCs w:val="24"/>
        </w:rPr>
      </w:pPr>
      <w:r w:rsidRPr="0030006E">
        <w:rPr>
          <w:rFonts w:ascii="Times New Roman" w:hAnsi="Times New Roman" w:cs="Times New Roman"/>
          <w:bCs/>
          <w:sz w:val="24"/>
          <w:szCs w:val="24"/>
        </w:rPr>
        <w:t xml:space="preserve">     </w:t>
      </w:r>
      <w:r w:rsidRPr="0030006E">
        <w:rPr>
          <w:rFonts w:ascii="Times New Roman" w:hAnsi="Times New Roman" w:cs="Times New Roman"/>
          <w:b/>
          <w:bCs/>
          <w:sz w:val="24"/>
          <w:szCs w:val="24"/>
        </w:rPr>
        <w:t>V. Reflexiones finales</w:t>
      </w:r>
    </w:p>
    <w:p w14:paraId="1B28A06A" w14:textId="77777777" w:rsidR="00EB691B" w:rsidRPr="0030006E" w:rsidRDefault="00FD2E7B" w:rsidP="0030006E">
      <w:pPr>
        <w:spacing w:line="360" w:lineRule="auto"/>
        <w:jc w:val="both"/>
        <w:rPr>
          <w:rFonts w:ascii="Times New Roman" w:hAnsi="Times New Roman" w:cs="Times New Roman"/>
          <w:bCs/>
          <w:sz w:val="24"/>
          <w:szCs w:val="24"/>
        </w:rPr>
      </w:pPr>
      <w:r w:rsidRPr="0030006E">
        <w:rPr>
          <w:rFonts w:ascii="Times New Roman" w:hAnsi="Times New Roman" w:cs="Times New Roman"/>
          <w:bCs/>
          <w:sz w:val="24"/>
          <w:szCs w:val="24"/>
        </w:rPr>
        <w:t xml:space="preserve">     </w:t>
      </w:r>
      <w:r w:rsidR="00EB691B" w:rsidRPr="0030006E">
        <w:rPr>
          <w:rFonts w:ascii="Times New Roman" w:hAnsi="Times New Roman" w:cs="Times New Roman"/>
          <w:bCs/>
          <w:sz w:val="24"/>
          <w:szCs w:val="24"/>
        </w:rPr>
        <w:t>Hemos considerado oportuno retratar, a modo de ejemplos y a la vez como herramientas pragmáticas, los dos procesos penales expuestos. La intención fue, no tanto relatar detalles procesales ni dogmáticos de los mismos, si</w:t>
      </w:r>
      <w:r w:rsidR="00CC7B56" w:rsidRPr="0030006E">
        <w:rPr>
          <w:rFonts w:ascii="Times New Roman" w:hAnsi="Times New Roman" w:cs="Times New Roman"/>
          <w:bCs/>
          <w:sz w:val="24"/>
          <w:szCs w:val="24"/>
        </w:rPr>
        <w:t>no, hacer hincapié en el análisis</w:t>
      </w:r>
      <w:r w:rsidR="00EB691B" w:rsidRPr="0030006E">
        <w:rPr>
          <w:rFonts w:ascii="Times New Roman" w:hAnsi="Times New Roman" w:cs="Times New Roman"/>
          <w:bCs/>
          <w:sz w:val="24"/>
          <w:szCs w:val="24"/>
        </w:rPr>
        <w:t xml:space="preserve"> de los sujetos que intervienen de un lado y del otro, la función que cada uno ocupa, </w:t>
      </w:r>
      <w:r w:rsidR="00CC7B56" w:rsidRPr="0030006E">
        <w:rPr>
          <w:rFonts w:ascii="Times New Roman" w:hAnsi="Times New Roman" w:cs="Times New Roman"/>
          <w:bCs/>
          <w:sz w:val="24"/>
          <w:szCs w:val="24"/>
        </w:rPr>
        <w:t>de dónde viene</w:t>
      </w:r>
      <w:r w:rsidR="005B7B26" w:rsidRPr="0030006E">
        <w:rPr>
          <w:rFonts w:ascii="Times New Roman" w:hAnsi="Times New Roman" w:cs="Times New Roman"/>
          <w:bCs/>
          <w:sz w:val="24"/>
          <w:szCs w:val="24"/>
        </w:rPr>
        <w:t xml:space="preserve">n </w:t>
      </w:r>
      <w:r w:rsidR="0028765B" w:rsidRPr="0030006E">
        <w:rPr>
          <w:rFonts w:ascii="Times New Roman" w:hAnsi="Times New Roman" w:cs="Times New Roman"/>
          <w:bCs/>
          <w:sz w:val="24"/>
          <w:szCs w:val="24"/>
        </w:rPr>
        <w:t>(</w:t>
      </w:r>
      <w:r w:rsidR="005B7B26" w:rsidRPr="0030006E">
        <w:rPr>
          <w:rFonts w:ascii="Times New Roman" w:hAnsi="Times New Roman" w:cs="Times New Roman"/>
          <w:bCs/>
          <w:sz w:val="24"/>
          <w:szCs w:val="24"/>
        </w:rPr>
        <w:t>socialmente hablando</w:t>
      </w:r>
      <w:r w:rsidR="0028765B" w:rsidRPr="0030006E">
        <w:rPr>
          <w:rFonts w:ascii="Times New Roman" w:hAnsi="Times New Roman" w:cs="Times New Roman"/>
          <w:bCs/>
          <w:sz w:val="24"/>
          <w:szCs w:val="24"/>
        </w:rPr>
        <w:t>)</w:t>
      </w:r>
      <w:r w:rsidR="00CC7B56" w:rsidRPr="0030006E">
        <w:rPr>
          <w:rFonts w:ascii="Times New Roman" w:hAnsi="Times New Roman" w:cs="Times New Roman"/>
          <w:bCs/>
          <w:sz w:val="24"/>
          <w:szCs w:val="24"/>
        </w:rPr>
        <w:t xml:space="preserve">. Parece que, </w:t>
      </w:r>
      <w:r w:rsidR="0028765B" w:rsidRPr="0030006E">
        <w:rPr>
          <w:rFonts w:ascii="Times New Roman" w:hAnsi="Times New Roman" w:cs="Times New Roman"/>
          <w:bCs/>
          <w:sz w:val="24"/>
          <w:szCs w:val="24"/>
        </w:rPr>
        <w:t>por medio de un destino</w:t>
      </w:r>
      <w:r w:rsidR="00CC7B56" w:rsidRPr="0030006E">
        <w:rPr>
          <w:rFonts w:ascii="Times New Roman" w:hAnsi="Times New Roman" w:cs="Times New Roman"/>
          <w:bCs/>
          <w:sz w:val="24"/>
          <w:szCs w:val="24"/>
        </w:rPr>
        <w:t xml:space="preserve"> natural, obvio y evidente, imposible de quebrar, los juzgados siempre pertenecen al mismo eslabón en la cadena cruel y densa de poder. </w:t>
      </w:r>
    </w:p>
    <w:p w14:paraId="009ED469" w14:textId="77777777" w:rsidR="00483D4F" w:rsidRPr="0030006E" w:rsidRDefault="00FD2E7B" w:rsidP="0030006E">
      <w:pPr>
        <w:spacing w:line="360" w:lineRule="auto"/>
        <w:jc w:val="both"/>
        <w:rPr>
          <w:rFonts w:ascii="Times New Roman" w:hAnsi="Times New Roman" w:cs="Times New Roman"/>
          <w:bCs/>
          <w:sz w:val="24"/>
          <w:szCs w:val="24"/>
        </w:rPr>
      </w:pPr>
      <w:r w:rsidRPr="0030006E">
        <w:rPr>
          <w:rFonts w:ascii="Times New Roman" w:hAnsi="Times New Roman" w:cs="Times New Roman"/>
          <w:bCs/>
          <w:sz w:val="24"/>
          <w:szCs w:val="24"/>
        </w:rPr>
        <w:t xml:space="preserve">     </w:t>
      </w:r>
      <w:r w:rsidR="005B7B26" w:rsidRPr="0030006E">
        <w:rPr>
          <w:rFonts w:ascii="Times New Roman" w:hAnsi="Times New Roman" w:cs="Times New Roman"/>
          <w:bCs/>
          <w:sz w:val="24"/>
          <w:szCs w:val="24"/>
        </w:rPr>
        <w:t>Los que estaban en la época de la colonización en la base y primer escalón en la escalera hacia el cielo, el éxito y la salvación, hoy siguen sin poder avanzar. El poder judicial, la corporación en la cual se ha convertido, se encuentra repleto</w:t>
      </w:r>
      <w:r w:rsidR="00CE3C83" w:rsidRPr="0030006E">
        <w:rPr>
          <w:rFonts w:ascii="Times New Roman" w:hAnsi="Times New Roman" w:cs="Times New Roman"/>
          <w:bCs/>
          <w:sz w:val="24"/>
          <w:szCs w:val="24"/>
        </w:rPr>
        <w:t xml:space="preserve"> de funcionarios</w:t>
      </w:r>
      <w:r w:rsidR="005B7B26" w:rsidRPr="0030006E">
        <w:rPr>
          <w:rFonts w:ascii="Times New Roman" w:hAnsi="Times New Roman" w:cs="Times New Roman"/>
          <w:bCs/>
          <w:sz w:val="24"/>
          <w:szCs w:val="24"/>
        </w:rPr>
        <w:t xml:space="preserve"> especializados en autolegitimarse, persiguiendo, rotulando y etiquetando al </w:t>
      </w:r>
      <w:r w:rsidR="00CE3C83" w:rsidRPr="0030006E">
        <w:rPr>
          <w:rFonts w:ascii="Times New Roman" w:hAnsi="Times New Roman" w:cs="Times New Roman"/>
          <w:bCs/>
          <w:sz w:val="24"/>
          <w:szCs w:val="24"/>
        </w:rPr>
        <w:t>otro: ser pobre, inculto, necesitado, (in)visibilizado.</w:t>
      </w:r>
      <w:r w:rsidR="00465F97" w:rsidRPr="0030006E">
        <w:rPr>
          <w:rFonts w:ascii="Times New Roman" w:hAnsi="Times New Roman" w:cs="Times New Roman"/>
          <w:bCs/>
          <w:sz w:val="24"/>
          <w:szCs w:val="24"/>
        </w:rPr>
        <w:t xml:space="preserve"> Experimento y visualizo, en el gran universo judicial, una construcción cultural y política dominante, que comienza en las aulas universitarias (con excepciones, claro está) y se perfecciona en las distintas y diversas instituciones y organismos. Así, el poder judicial se ha convertido en</w:t>
      </w:r>
      <w:r w:rsidR="0028765B" w:rsidRPr="0030006E">
        <w:rPr>
          <w:rFonts w:ascii="Times New Roman" w:hAnsi="Times New Roman" w:cs="Times New Roman"/>
          <w:bCs/>
          <w:sz w:val="24"/>
          <w:szCs w:val="24"/>
        </w:rPr>
        <w:t xml:space="preserve"> una de</w:t>
      </w:r>
      <w:r w:rsidR="00465F97" w:rsidRPr="0030006E">
        <w:rPr>
          <w:rFonts w:ascii="Times New Roman" w:hAnsi="Times New Roman" w:cs="Times New Roman"/>
          <w:bCs/>
          <w:sz w:val="24"/>
          <w:szCs w:val="24"/>
        </w:rPr>
        <w:t xml:space="preserve"> la</w:t>
      </w:r>
      <w:r w:rsidR="0028765B" w:rsidRPr="0030006E">
        <w:rPr>
          <w:rFonts w:ascii="Times New Roman" w:hAnsi="Times New Roman" w:cs="Times New Roman"/>
          <w:bCs/>
          <w:sz w:val="24"/>
          <w:szCs w:val="24"/>
        </w:rPr>
        <w:t>s</w:t>
      </w:r>
      <w:r w:rsidR="00465F97" w:rsidRPr="0030006E">
        <w:rPr>
          <w:rFonts w:ascii="Times New Roman" w:hAnsi="Times New Roman" w:cs="Times New Roman"/>
          <w:bCs/>
          <w:sz w:val="24"/>
          <w:szCs w:val="24"/>
        </w:rPr>
        <w:t xml:space="preserve"> herramienta</w:t>
      </w:r>
      <w:r w:rsidR="0028765B" w:rsidRPr="0030006E">
        <w:rPr>
          <w:rFonts w:ascii="Times New Roman" w:hAnsi="Times New Roman" w:cs="Times New Roman"/>
          <w:bCs/>
          <w:sz w:val="24"/>
          <w:szCs w:val="24"/>
        </w:rPr>
        <w:t>s</w:t>
      </w:r>
      <w:r w:rsidR="00465F97" w:rsidRPr="0030006E">
        <w:rPr>
          <w:rFonts w:ascii="Times New Roman" w:hAnsi="Times New Roman" w:cs="Times New Roman"/>
          <w:bCs/>
          <w:sz w:val="24"/>
          <w:szCs w:val="24"/>
        </w:rPr>
        <w:t xml:space="preserve"> que más le</w:t>
      </w:r>
      <w:r w:rsidR="00483D4F" w:rsidRPr="0030006E">
        <w:rPr>
          <w:rFonts w:ascii="Times New Roman" w:hAnsi="Times New Roman" w:cs="Times New Roman"/>
          <w:bCs/>
          <w:sz w:val="24"/>
          <w:szCs w:val="24"/>
        </w:rPr>
        <w:t>s</w:t>
      </w:r>
      <w:r w:rsidR="00465F97" w:rsidRPr="0030006E">
        <w:rPr>
          <w:rFonts w:ascii="Times New Roman" w:hAnsi="Times New Roman" w:cs="Times New Roman"/>
          <w:bCs/>
          <w:sz w:val="24"/>
          <w:szCs w:val="24"/>
        </w:rPr>
        <w:t xml:space="preserve"> sirve a las clases dominantes</w:t>
      </w:r>
      <w:r w:rsidR="00FE3986" w:rsidRPr="0030006E">
        <w:rPr>
          <w:rFonts w:ascii="Times New Roman" w:hAnsi="Times New Roman" w:cs="Times New Roman"/>
          <w:bCs/>
          <w:sz w:val="24"/>
          <w:szCs w:val="24"/>
        </w:rPr>
        <w:t xml:space="preserve"> (fusionándose, la mayor de las veces en un solo cuerpo la dualidad funcionario judicial/clase dominante)</w:t>
      </w:r>
      <w:r w:rsidR="00465F97" w:rsidRPr="0030006E">
        <w:rPr>
          <w:rFonts w:ascii="Times New Roman" w:hAnsi="Times New Roman" w:cs="Times New Roman"/>
          <w:bCs/>
          <w:sz w:val="24"/>
          <w:szCs w:val="24"/>
        </w:rPr>
        <w:t xml:space="preserve">, para perpetuarse en la cima de la pirámide. </w:t>
      </w:r>
    </w:p>
    <w:p w14:paraId="684761B6" w14:textId="77777777" w:rsidR="004F36BD" w:rsidRPr="0030006E" w:rsidRDefault="00FD2E7B" w:rsidP="0030006E">
      <w:pPr>
        <w:spacing w:line="360" w:lineRule="auto"/>
        <w:jc w:val="both"/>
        <w:rPr>
          <w:rFonts w:ascii="Times New Roman" w:hAnsi="Times New Roman" w:cs="Times New Roman"/>
          <w:bCs/>
          <w:sz w:val="24"/>
          <w:szCs w:val="24"/>
        </w:rPr>
      </w:pPr>
      <w:r w:rsidRPr="0030006E">
        <w:rPr>
          <w:rFonts w:ascii="Times New Roman" w:hAnsi="Times New Roman" w:cs="Times New Roman"/>
          <w:bCs/>
          <w:sz w:val="24"/>
          <w:szCs w:val="24"/>
        </w:rPr>
        <w:t xml:space="preserve">    </w:t>
      </w:r>
      <w:r w:rsidR="00483D4F" w:rsidRPr="0030006E">
        <w:rPr>
          <w:rFonts w:ascii="Times New Roman" w:hAnsi="Times New Roman" w:cs="Times New Roman"/>
          <w:bCs/>
          <w:sz w:val="24"/>
          <w:szCs w:val="24"/>
        </w:rPr>
        <w:t>E</w:t>
      </w:r>
      <w:r w:rsidR="00465F97" w:rsidRPr="0030006E">
        <w:rPr>
          <w:rFonts w:ascii="Times New Roman" w:hAnsi="Times New Roman" w:cs="Times New Roman"/>
          <w:bCs/>
          <w:sz w:val="24"/>
          <w:szCs w:val="24"/>
        </w:rPr>
        <w:t xml:space="preserve">l rol y papel de los que persiguen y los sujetos perseguidos, </w:t>
      </w:r>
      <w:r w:rsidR="00483D4F" w:rsidRPr="0030006E">
        <w:rPr>
          <w:rFonts w:ascii="Times New Roman" w:hAnsi="Times New Roman" w:cs="Times New Roman"/>
          <w:bCs/>
          <w:sz w:val="24"/>
          <w:szCs w:val="24"/>
        </w:rPr>
        <w:t>no ha variado mucho desde el surgimiento de nuestro Estado-nación ficticio</w:t>
      </w:r>
      <w:r w:rsidR="002C5815" w:rsidRPr="0030006E">
        <w:rPr>
          <w:rFonts w:ascii="Times New Roman" w:hAnsi="Times New Roman" w:cs="Times New Roman"/>
          <w:bCs/>
          <w:sz w:val="24"/>
          <w:szCs w:val="24"/>
        </w:rPr>
        <w:t>. De la misma manera que sucedía en esas épocas,</w:t>
      </w:r>
      <w:r w:rsidR="00483D4F" w:rsidRPr="0030006E">
        <w:rPr>
          <w:rFonts w:ascii="Times New Roman" w:hAnsi="Times New Roman" w:cs="Times New Roman"/>
          <w:bCs/>
          <w:sz w:val="24"/>
          <w:szCs w:val="24"/>
        </w:rPr>
        <w:t xml:space="preserve"> los lugares de cada uno en el escenario parece ser una suerte de d</w:t>
      </w:r>
      <w:r w:rsidR="00465F97" w:rsidRPr="0030006E">
        <w:rPr>
          <w:rFonts w:ascii="Times New Roman" w:hAnsi="Times New Roman" w:cs="Times New Roman"/>
          <w:bCs/>
          <w:sz w:val="24"/>
          <w:szCs w:val="24"/>
        </w:rPr>
        <w:t>estino</w:t>
      </w:r>
      <w:r w:rsidR="00483D4F" w:rsidRPr="0030006E">
        <w:rPr>
          <w:rFonts w:ascii="Times New Roman" w:hAnsi="Times New Roman" w:cs="Times New Roman"/>
          <w:bCs/>
          <w:sz w:val="24"/>
          <w:szCs w:val="24"/>
        </w:rPr>
        <w:t>,</w:t>
      </w:r>
      <w:r w:rsidR="00465F97" w:rsidRPr="0030006E">
        <w:rPr>
          <w:rFonts w:ascii="Times New Roman" w:hAnsi="Times New Roman" w:cs="Times New Roman"/>
          <w:bCs/>
          <w:sz w:val="24"/>
          <w:szCs w:val="24"/>
        </w:rPr>
        <w:t xml:space="preserve"> </w:t>
      </w:r>
      <w:r w:rsidR="00483D4F" w:rsidRPr="0030006E">
        <w:rPr>
          <w:rFonts w:ascii="Times New Roman" w:hAnsi="Times New Roman" w:cs="Times New Roman"/>
          <w:bCs/>
          <w:sz w:val="24"/>
          <w:szCs w:val="24"/>
        </w:rPr>
        <w:t xml:space="preserve">imposible de obviar si naciste </w:t>
      </w:r>
      <w:r w:rsidR="00483D4F" w:rsidRPr="0030006E">
        <w:rPr>
          <w:rFonts w:ascii="Times New Roman" w:hAnsi="Times New Roman" w:cs="Times New Roman"/>
          <w:bCs/>
          <w:sz w:val="24"/>
          <w:szCs w:val="24"/>
        </w:rPr>
        <w:lastRenderedPageBreak/>
        <w:t xml:space="preserve">en un pueblo o comunidad indígena o en un barrio carenciado donde la ausencia de políticas públicas es la regla. </w:t>
      </w:r>
      <w:r w:rsidR="00716137" w:rsidRPr="0030006E">
        <w:rPr>
          <w:rFonts w:ascii="Times New Roman" w:hAnsi="Times New Roman" w:cs="Times New Roman"/>
          <w:bCs/>
          <w:sz w:val="24"/>
          <w:szCs w:val="24"/>
        </w:rPr>
        <w:t>La categoría de raza con la que fueron fundados nues</w:t>
      </w:r>
      <w:r w:rsidR="0028765B" w:rsidRPr="0030006E">
        <w:rPr>
          <w:rFonts w:ascii="Times New Roman" w:hAnsi="Times New Roman" w:cs="Times New Roman"/>
          <w:bCs/>
          <w:sz w:val="24"/>
          <w:szCs w:val="24"/>
        </w:rPr>
        <w:t>tros Estados sigue atravesando tod</w:t>
      </w:r>
      <w:r w:rsidR="00716137" w:rsidRPr="0030006E">
        <w:rPr>
          <w:rFonts w:ascii="Times New Roman" w:hAnsi="Times New Roman" w:cs="Times New Roman"/>
          <w:bCs/>
          <w:sz w:val="24"/>
          <w:szCs w:val="24"/>
        </w:rPr>
        <w:t>os</w:t>
      </w:r>
      <w:r w:rsidR="0028765B" w:rsidRPr="0030006E">
        <w:rPr>
          <w:rFonts w:ascii="Times New Roman" w:hAnsi="Times New Roman" w:cs="Times New Roman"/>
          <w:bCs/>
          <w:sz w:val="24"/>
          <w:szCs w:val="24"/>
        </w:rPr>
        <w:t xml:space="preserve"> los</w:t>
      </w:r>
      <w:r w:rsidR="00716137" w:rsidRPr="0030006E">
        <w:rPr>
          <w:rFonts w:ascii="Times New Roman" w:hAnsi="Times New Roman" w:cs="Times New Roman"/>
          <w:bCs/>
          <w:sz w:val="24"/>
          <w:szCs w:val="24"/>
        </w:rPr>
        <w:t xml:space="preserve"> espacios </w:t>
      </w:r>
      <w:r w:rsidR="005A181C" w:rsidRPr="0030006E">
        <w:rPr>
          <w:rFonts w:ascii="Times New Roman" w:hAnsi="Times New Roman" w:cs="Times New Roman"/>
          <w:bCs/>
          <w:sz w:val="24"/>
          <w:szCs w:val="24"/>
        </w:rPr>
        <w:t>-convirtiéndose en parte de nuestra universo cultural-</w:t>
      </w:r>
      <w:r w:rsidR="00716137" w:rsidRPr="0030006E">
        <w:rPr>
          <w:rFonts w:ascii="Times New Roman" w:hAnsi="Times New Roman" w:cs="Times New Roman"/>
          <w:bCs/>
          <w:sz w:val="24"/>
          <w:szCs w:val="24"/>
        </w:rPr>
        <w:t>, por lo que la convierte en elemento estructural e histórico</w:t>
      </w:r>
      <w:r w:rsidR="0028765B" w:rsidRPr="0030006E">
        <w:rPr>
          <w:rFonts w:ascii="Times New Roman" w:hAnsi="Times New Roman" w:cs="Times New Roman"/>
          <w:bCs/>
          <w:sz w:val="24"/>
          <w:szCs w:val="24"/>
        </w:rPr>
        <w:t xml:space="preserve"> cuando se construye quién pertenece a un lado y al otro en la administración de poder.</w:t>
      </w:r>
    </w:p>
    <w:p w14:paraId="157C6B59" w14:textId="77777777" w:rsidR="004F36BD" w:rsidRPr="0030006E" w:rsidRDefault="004F36BD" w:rsidP="0030006E">
      <w:pPr>
        <w:spacing w:line="360" w:lineRule="auto"/>
        <w:jc w:val="both"/>
        <w:rPr>
          <w:rFonts w:ascii="Times New Roman" w:hAnsi="Times New Roman" w:cs="Times New Roman"/>
          <w:b/>
          <w:bCs/>
          <w:sz w:val="24"/>
          <w:szCs w:val="24"/>
        </w:rPr>
      </w:pPr>
      <w:r w:rsidRPr="0030006E">
        <w:rPr>
          <w:rFonts w:ascii="Times New Roman" w:hAnsi="Times New Roman" w:cs="Times New Roman"/>
          <w:bCs/>
          <w:sz w:val="24"/>
          <w:szCs w:val="24"/>
        </w:rPr>
        <w:t xml:space="preserve">     </w:t>
      </w:r>
      <w:r w:rsidR="00FD2E7B" w:rsidRPr="0030006E">
        <w:rPr>
          <w:rFonts w:ascii="Times New Roman" w:hAnsi="Times New Roman" w:cs="Times New Roman"/>
          <w:bCs/>
          <w:sz w:val="24"/>
          <w:szCs w:val="24"/>
        </w:rPr>
        <w:t xml:space="preserve"> </w:t>
      </w:r>
      <w:r w:rsidRPr="0030006E">
        <w:rPr>
          <w:rFonts w:ascii="Times New Roman" w:hAnsi="Times New Roman" w:cs="Times New Roman"/>
          <w:b/>
          <w:bCs/>
          <w:sz w:val="24"/>
          <w:szCs w:val="24"/>
        </w:rPr>
        <w:t>VI. Bi</w:t>
      </w:r>
      <w:r w:rsidR="00C35F8E" w:rsidRPr="0030006E">
        <w:rPr>
          <w:rFonts w:ascii="Times New Roman" w:hAnsi="Times New Roman" w:cs="Times New Roman"/>
          <w:b/>
          <w:bCs/>
          <w:sz w:val="24"/>
          <w:szCs w:val="24"/>
        </w:rPr>
        <w:t>bliografía</w:t>
      </w:r>
    </w:p>
    <w:p w14:paraId="612EE74F" w14:textId="77777777" w:rsidR="004C6A6B" w:rsidRPr="0030006E" w:rsidRDefault="004C6A6B" w:rsidP="0030006E">
      <w:pPr>
        <w:spacing w:line="360" w:lineRule="auto"/>
        <w:jc w:val="both"/>
        <w:rPr>
          <w:rFonts w:ascii="Times New Roman" w:hAnsi="Times New Roman" w:cs="Times New Roman"/>
          <w:bCs/>
          <w:sz w:val="24"/>
          <w:szCs w:val="24"/>
        </w:rPr>
      </w:pPr>
      <w:r w:rsidRPr="0030006E">
        <w:rPr>
          <w:rFonts w:ascii="Times New Roman" w:hAnsi="Times New Roman" w:cs="Times New Roman"/>
          <w:bCs/>
          <w:sz w:val="24"/>
          <w:szCs w:val="24"/>
        </w:rPr>
        <w:t xml:space="preserve">Díaz-Planco, Héctor, “Elogio de la diversidad. Globalización, multiculturalismo y etnofagia”. Siglo XXI, México, </w:t>
      </w:r>
      <w:r w:rsidR="003E1651" w:rsidRPr="0030006E">
        <w:rPr>
          <w:rFonts w:ascii="Times New Roman" w:hAnsi="Times New Roman" w:cs="Times New Roman"/>
          <w:bCs/>
          <w:sz w:val="24"/>
          <w:szCs w:val="24"/>
        </w:rPr>
        <w:t>2006.</w:t>
      </w:r>
    </w:p>
    <w:p w14:paraId="5F6CA175" w14:textId="77777777" w:rsidR="004C6A6B" w:rsidRPr="0030006E" w:rsidRDefault="004C6A6B" w:rsidP="0030006E">
      <w:pPr>
        <w:spacing w:line="360" w:lineRule="auto"/>
        <w:jc w:val="both"/>
        <w:rPr>
          <w:rFonts w:ascii="Times New Roman" w:hAnsi="Times New Roman" w:cs="Times New Roman"/>
          <w:bCs/>
          <w:sz w:val="24"/>
          <w:szCs w:val="24"/>
        </w:rPr>
      </w:pPr>
      <w:r w:rsidRPr="0030006E">
        <w:rPr>
          <w:rFonts w:ascii="Times New Roman" w:hAnsi="Times New Roman" w:cs="Times New Roman"/>
          <w:bCs/>
          <w:sz w:val="24"/>
          <w:szCs w:val="24"/>
        </w:rPr>
        <w:t>Foucault, Michel, “Vigilar y castigar: Nacimiento de la prisión”. Siglo XXI Editores, Buenos Aires, 2012.</w:t>
      </w:r>
    </w:p>
    <w:p w14:paraId="657AE496" w14:textId="77777777" w:rsidR="00104209" w:rsidRPr="0030006E" w:rsidRDefault="00BA47C6" w:rsidP="0030006E">
      <w:pPr>
        <w:spacing w:line="360" w:lineRule="auto"/>
        <w:jc w:val="both"/>
        <w:rPr>
          <w:rFonts w:ascii="Times New Roman" w:hAnsi="Times New Roman" w:cs="Times New Roman"/>
          <w:bCs/>
          <w:sz w:val="24"/>
          <w:szCs w:val="24"/>
        </w:rPr>
      </w:pPr>
      <w:r w:rsidRPr="0030006E">
        <w:rPr>
          <w:rFonts w:ascii="Times New Roman" w:hAnsi="Times New Roman" w:cs="Times New Roman"/>
          <w:bCs/>
          <w:sz w:val="24"/>
          <w:szCs w:val="24"/>
        </w:rPr>
        <w:t>Quijano, Aníbal.</w:t>
      </w:r>
      <w:r w:rsidR="00104209" w:rsidRPr="0030006E">
        <w:rPr>
          <w:rFonts w:ascii="Times New Roman" w:hAnsi="Times New Roman" w:cs="Times New Roman"/>
          <w:bCs/>
          <w:sz w:val="24"/>
          <w:szCs w:val="24"/>
        </w:rPr>
        <w:t>“Colonialidad del poder, eurocentrismo y América Latina”. Cuestiones y Horizontes: de la dependencia histórico-estructural a la colonialidad/descolonialidad del poder. CLA</w:t>
      </w:r>
      <w:r w:rsidRPr="0030006E">
        <w:rPr>
          <w:rFonts w:ascii="Times New Roman" w:hAnsi="Times New Roman" w:cs="Times New Roman"/>
          <w:bCs/>
          <w:sz w:val="24"/>
          <w:szCs w:val="24"/>
        </w:rPr>
        <w:t>CSO, Buenos Aires</w:t>
      </w:r>
      <w:r w:rsidR="004F36BD" w:rsidRPr="0030006E">
        <w:rPr>
          <w:rFonts w:ascii="Times New Roman" w:hAnsi="Times New Roman" w:cs="Times New Roman"/>
          <w:bCs/>
          <w:sz w:val="24"/>
          <w:szCs w:val="24"/>
        </w:rPr>
        <w:t>, 2014.</w:t>
      </w:r>
    </w:p>
    <w:p w14:paraId="36A03B97" w14:textId="77777777" w:rsidR="00964298" w:rsidRPr="0030006E" w:rsidRDefault="005A38FF" w:rsidP="0030006E">
      <w:pPr>
        <w:spacing w:line="360" w:lineRule="auto"/>
        <w:jc w:val="both"/>
        <w:rPr>
          <w:rFonts w:ascii="Times New Roman" w:hAnsi="Times New Roman" w:cs="Times New Roman"/>
          <w:sz w:val="24"/>
          <w:szCs w:val="24"/>
        </w:rPr>
      </w:pPr>
      <w:r w:rsidRPr="0030006E">
        <w:rPr>
          <w:rFonts w:ascii="Times New Roman" w:hAnsi="Times New Roman" w:cs="Times New Roman"/>
          <w:sz w:val="24"/>
          <w:szCs w:val="24"/>
        </w:rPr>
        <w:t>S</w:t>
      </w:r>
      <w:r w:rsidR="004F36BD" w:rsidRPr="0030006E">
        <w:rPr>
          <w:rFonts w:ascii="Times New Roman" w:hAnsi="Times New Roman" w:cs="Times New Roman"/>
          <w:sz w:val="24"/>
          <w:szCs w:val="24"/>
        </w:rPr>
        <w:t>antos</w:t>
      </w:r>
      <w:r w:rsidRPr="0030006E">
        <w:rPr>
          <w:rFonts w:ascii="Times New Roman" w:hAnsi="Times New Roman" w:cs="Times New Roman"/>
          <w:sz w:val="24"/>
          <w:szCs w:val="24"/>
        </w:rPr>
        <w:t xml:space="preserve">, Boaventura de Sousa, “La reinvención del Estado y el Estado plurinacional”, OSAL, Buenos Aires, CLACSO, Año VIII, Nº 22, </w:t>
      </w:r>
      <w:r w:rsidR="004F36BD" w:rsidRPr="0030006E">
        <w:rPr>
          <w:rFonts w:ascii="Times New Roman" w:hAnsi="Times New Roman" w:cs="Times New Roman"/>
          <w:sz w:val="24"/>
          <w:szCs w:val="24"/>
        </w:rPr>
        <w:t>2007.</w:t>
      </w:r>
    </w:p>
    <w:p w14:paraId="3C1AD551" w14:textId="77777777" w:rsidR="00FD2E7B" w:rsidRPr="0030006E" w:rsidRDefault="00FD2E7B" w:rsidP="0030006E">
      <w:pPr>
        <w:spacing w:line="360" w:lineRule="auto"/>
        <w:jc w:val="both"/>
        <w:rPr>
          <w:rFonts w:ascii="Times New Roman" w:hAnsi="Times New Roman" w:cs="Times New Roman"/>
          <w:sz w:val="24"/>
          <w:szCs w:val="24"/>
        </w:rPr>
      </w:pPr>
      <w:r w:rsidRPr="0030006E">
        <w:rPr>
          <w:rFonts w:ascii="Times New Roman" w:hAnsi="Times New Roman" w:cs="Times New Roman"/>
          <w:sz w:val="24"/>
          <w:szCs w:val="24"/>
        </w:rPr>
        <w:t>S</w:t>
      </w:r>
      <w:r w:rsidR="004F36BD" w:rsidRPr="0030006E">
        <w:rPr>
          <w:rFonts w:ascii="Times New Roman" w:hAnsi="Times New Roman" w:cs="Times New Roman"/>
          <w:sz w:val="24"/>
          <w:szCs w:val="24"/>
        </w:rPr>
        <w:t>antos</w:t>
      </w:r>
      <w:r w:rsidRPr="0030006E">
        <w:rPr>
          <w:rFonts w:ascii="Times New Roman" w:hAnsi="Times New Roman" w:cs="Times New Roman"/>
          <w:sz w:val="24"/>
          <w:szCs w:val="24"/>
        </w:rPr>
        <w:t>, Boaventura de Sousa, “Conocer desde el Sur. Para una cultura política emancipatoria”, CLACSO, CID</w:t>
      </w:r>
      <w:r w:rsidR="004F36BD" w:rsidRPr="0030006E">
        <w:rPr>
          <w:rFonts w:ascii="Times New Roman" w:hAnsi="Times New Roman" w:cs="Times New Roman"/>
          <w:sz w:val="24"/>
          <w:szCs w:val="24"/>
        </w:rPr>
        <w:t>ES - UMSA, Plural editores, 2007.</w:t>
      </w:r>
    </w:p>
    <w:p w14:paraId="6C764683" w14:textId="77777777" w:rsidR="00F6784F" w:rsidRPr="0030006E" w:rsidRDefault="00F6784F" w:rsidP="0030006E">
      <w:pPr>
        <w:spacing w:line="360" w:lineRule="auto"/>
        <w:jc w:val="both"/>
        <w:rPr>
          <w:rFonts w:ascii="Times New Roman" w:hAnsi="Times New Roman" w:cs="Times New Roman"/>
          <w:sz w:val="24"/>
          <w:szCs w:val="24"/>
        </w:rPr>
      </w:pPr>
    </w:p>
    <w:bookmarkEnd w:id="0"/>
    <w:sectPr w:rsidR="00F6784F" w:rsidRPr="0030006E" w:rsidSect="00D074B6">
      <w:type w:val="continuous"/>
      <w:pgSz w:w="12240" w:h="15840"/>
      <w:pgMar w:top="1440" w:right="1183" w:bottom="1440"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EA0D1" w14:textId="77777777" w:rsidR="00C500A1" w:rsidRDefault="00C500A1" w:rsidP="000556D4">
      <w:pPr>
        <w:spacing w:after="0" w:line="240" w:lineRule="auto"/>
      </w:pPr>
      <w:r>
        <w:separator/>
      </w:r>
    </w:p>
  </w:endnote>
  <w:endnote w:type="continuationSeparator" w:id="0">
    <w:p w14:paraId="22BA0745" w14:textId="77777777" w:rsidR="00C500A1" w:rsidRDefault="00C500A1" w:rsidP="0005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游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BF160" w14:textId="77777777" w:rsidR="00C500A1" w:rsidRDefault="00C500A1" w:rsidP="000556D4">
      <w:pPr>
        <w:spacing w:after="0" w:line="240" w:lineRule="auto"/>
      </w:pPr>
      <w:r>
        <w:separator/>
      </w:r>
    </w:p>
  </w:footnote>
  <w:footnote w:type="continuationSeparator" w:id="0">
    <w:p w14:paraId="3AB1C286" w14:textId="77777777" w:rsidR="00C500A1" w:rsidRDefault="00C500A1" w:rsidP="000556D4">
      <w:pPr>
        <w:spacing w:after="0" w:line="240" w:lineRule="auto"/>
      </w:pPr>
      <w:r>
        <w:continuationSeparator/>
      </w:r>
    </w:p>
  </w:footnote>
  <w:footnote w:id="1">
    <w:p w14:paraId="56D22F94" w14:textId="77777777" w:rsidR="000556D4" w:rsidRPr="003E6919" w:rsidRDefault="000556D4" w:rsidP="000556D4">
      <w:pPr>
        <w:pStyle w:val="FootnoteText"/>
        <w:rPr>
          <w:rFonts w:ascii="Times New Roman" w:hAnsi="Times New Roman" w:cs="Times New Roman"/>
        </w:rPr>
      </w:pPr>
    </w:p>
  </w:footnote>
  <w:footnote w:id="2">
    <w:p w14:paraId="58781A14" w14:textId="77777777" w:rsidR="005E0C64" w:rsidRPr="005A38FF" w:rsidRDefault="005E0C64" w:rsidP="005A38FF">
      <w:pPr>
        <w:pStyle w:val="FootnoteText"/>
        <w:jc w:val="both"/>
        <w:rPr>
          <w:rFonts w:ascii="Times New Roman" w:hAnsi="Times New Roman" w:cs="Times New Roman"/>
          <w:sz w:val="22"/>
          <w:szCs w:val="22"/>
        </w:rPr>
      </w:pPr>
      <w:r w:rsidRPr="005A38FF">
        <w:rPr>
          <w:rStyle w:val="FootnoteReference"/>
          <w:rFonts w:ascii="Times New Roman" w:hAnsi="Times New Roman" w:cs="Times New Roman"/>
          <w:sz w:val="22"/>
          <w:szCs w:val="22"/>
        </w:rPr>
        <w:footnoteRef/>
      </w:r>
      <w:r w:rsidRPr="005A38FF">
        <w:rPr>
          <w:rFonts w:ascii="Times New Roman" w:hAnsi="Times New Roman" w:cs="Times New Roman"/>
          <w:sz w:val="22"/>
          <w:szCs w:val="22"/>
        </w:rPr>
        <w:t xml:space="preserve"> Los nombres verdaderos se reservan con el fin de preservar la identidad de las víctimas.</w:t>
      </w:r>
    </w:p>
  </w:footnote>
  <w:footnote w:id="3">
    <w:p w14:paraId="128D5EE4" w14:textId="77777777" w:rsidR="001B52C1" w:rsidRPr="003E6919" w:rsidRDefault="001B52C1" w:rsidP="005A38FF">
      <w:pPr>
        <w:pStyle w:val="FootnoteText"/>
        <w:jc w:val="both"/>
        <w:rPr>
          <w:rFonts w:ascii="Times New Roman" w:hAnsi="Times New Roman" w:cs="Times New Roman"/>
        </w:rPr>
      </w:pPr>
      <w:r w:rsidRPr="005A38FF">
        <w:rPr>
          <w:rStyle w:val="FootnoteReference"/>
          <w:rFonts w:ascii="Times New Roman" w:hAnsi="Times New Roman" w:cs="Times New Roman"/>
          <w:sz w:val="22"/>
          <w:szCs w:val="22"/>
        </w:rPr>
        <w:footnoteRef/>
      </w:r>
      <w:r w:rsidRPr="005A38FF">
        <w:rPr>
          <w:rFonts w:ascii="Times New Roman" w:hAnsi="Times New Roman" w:cs="Times New Roman"/>
          <w:sz w:val="22"/>
          <w:szCs w:val="22"/>
        </w:rPr>
        <w:t xml:space="preserve"> </w:t>
      </w:r>
      <w:r w:rsidR="0040755D" w:rsidRPr="005A38FF">
        <w:rPr>
          <w:rFonts w:ascii="Times New Roman" w:hAnsi="Times New Roman" w:cs="Times New Roman"/>
          <w:sz w:val="22"/>
          <w:szCs w:val="22"/>
        </w:rPr>
        <w:t>Se</w:t>
      </w:r>
      <w:r w:rsidR="00A9790F" w:rsidRPr="005A38FF">
        <w:rPr>
          <w:rFonts w:ascii="Times New Roman" w:hAnsi="Times New Roman" w:cs="Times New Roman"/>
          <w:sz w:val="22"/>
          <w:szCs w:val="22"/>
        </w:rPr>
        <w:t>gún los artículos 312 y 319 del Código Procesal Penal de la Nación, se</w:t>
      </w:r>
      <w:r w:rsidR="0040755D" w:rsidRPr="005A38FF">
        <w:rPr>
          <w:rFonts w:ascii="Times New Roman" w:hAnsi="Times New Roman" w:cs="Times New Roman"/>
          <w:sz w:val="22"/>
          <w:szCs w:val="22"/>
        </w:rPr>
        <w:t xml:space="preserve"> podrá dictaminar prisión preventiva si se presume “fundadamente, que [el imputado] intentará eludir la acción de la justicia o entorpecer las investigaciones”</w:t>
      </w:r>
      <w:r w:rsidRPr="005A38FF">
        <w:rPr>
          <w:rFonts w:ascii="Times New Roman" w:hAnsi="Times New Roman" w:cs="Times New Roman"/>
          <w:sz w:val="22"/>
          <w:szCs w:val="22"/>
        </w:rPr>
        <w:t xml:space="preserve">. Lejos de ser la excepción se convirtió en la Regla. El último informe del Relator Especial para las Personas Privadas de su Libertad sostiene un porcentaje del 56% de presos sin </w:t>
      </w:r>
      <w:r w:rsidR="0094010F" w:rsidRPr="005A38FF">
        <w:rPr>
          <w:rFonts w:ascii="Times New Roman" w:hAnsi="Times New Roman" w:cs="Times New Roman"/>
          <w:sz w:val="22"/>
          <w:szCs w:val="22"/>
        </w:rPr>
        <w:t>sentencia firme</w:t>
      </w:r>
      <w:r w:rsidRPr="005A38FF">
        <w:rPr>
          <w:rFonts w:ascii="Times New Roman" w:hAnsi="Times New Roman" w:cs="Times New Roman"/>
          <w:sz w:val="22"/>
          <w:szCs w:val="22"/>
        </w:rPr>
        <w:t xml:space="preserve"> bajo la figura de la prisión preventiva</w:t>
      </w:r>
      <w:r w:rsidRPr="00102E46">
        <w:rPr>
          <w:rFonts w:ascii="Times New Roman" w:hAnsi="Times New Roman" w:cs="Times New Roman"/>
        </w:rPr>
        <w:t>.</w:t>
      </w:r>
    </w:p>
  </w:footnote>
  <w:footnote w:id="4">
    <w:p w14:paraId="547DFA56" w14:textId="77777777" w:rsidR="00C25901" w:rsidRPr="005A38FF" w:rsidRDefault="00C25901" w:rsidP="005A38FF">
      <w:pPr>
        <w:pStyle w:val="FootnoteText"/>
        <w:jc w:val="both"/>
        <w:rPr>
          <w:rFonts w:ascii="Times New Roman" w:hAnsi="Times New Roman" w:cs="Times New Roman"/>
          <w:sz w:val="22"/>
        </w:rPr>
      </w:pPr>
      <w:r w:rsidRPr="005A38FF">
        <w:rPr>
          <w:rStyle w:val="FootnoteReference"/>
          <w:rFonts w:ascii="Times New Roman" w:hAnsi="Times New Roman" w:cs="Times New Roman"/>
          <w:sz w:val="22"/>
        </w:rPr>
        <w:footnoteRef/>
      </w:r>
      <w:r w:rsidR="001A565E" w:rsidRPr="005A38FF">
        <w:rPr>
          <w:rFonts w:ascii="Times New Roman" w:hAnsi="Times New Roman" w:cs="Times New Roman"/>
          <w:sz w:val="22"/>
        </w:rPr>
        <w:t xml:space="preserve"> Causa N° 3747, </w:t>
      </w:r>
      <w:r w:rsidR="00DB606C" w:rsidRPr="005A38FF">
        <w:rPr>
          <w:rFonts w:ascii="Times New Roman" w:hAnsi="Times New Roman" w:cs="Times New Roman"/>
          <w:bCs/>
          <w:sz w:val="22"/>
        </w:rPr>
        <w:t>cuyos jueces a cargo son Alejandro MORAMACCO TERRAROSA y Oscar Jorge CORREA.</w:t>
      </w:r>
    </w:p>
  </w:footnote>
  <w:footnote w:id="5">
    <w:p w14:paraId="7FF9A734" w14:textId="77777777" w:rsidR="00EE0C0C" w:rsidRPr="005A38FF" w:rsidRDefault="00EE0C0C" w:rsidP="005A38FF">
      <w:pPr>
        <w:pStyle w:val="FootnoteText"/>
        <w:jc w:val="both"/>
        <w:rPr>
          <w:rFonts w:ascii="Times New Roman" w:hAnsi="Times New Roman" w:cs="Times New Roman"/>
          <w:bCs/>
          <w:sz w:val="22"/>
        </w:rPr>
      </w:pPr>
      <w:r w:rsidRPr="005A38FF">
        <w:rPr>
          <w:rStyle w:val="FootnoteReference"/>
          <w:rFonts w:ascii="Times New Roman" w:hAnsi="Times New Roman" w:cs="Times New Roman"/>
          <w:sz w:val="22"/>
        </w:rPr>
        <w:footnoteRef/>
      </w:r>
      <w:r w:rsidRPr="005A38FF">
        <w:rPr>
          <w:rFonts w:ascii="Times New Roman" w:hAnsi="Times New Roman" w:cs="Times New Roman"/>
          <w:sz w:val="22"/>
        </w:rPr>
        <w:t xml:space="preserve"> Sentencia </w:t>
      </w:r>
      <w:r w:rsidRPr="005A38FF">
        <w:rPr>
          <w:rFonts w:ascii="Times New Roman" w:hAnsi="Times New Roman" w:cs="Times New Roman"/>
          <w:bCs/>
          <w:sz w:val="22"/>
        </w:rPr>
        <w:t>en los términos de los arts. 5, 12, 19, 329 inc. 3°, 40, 41, 41 bis respecto del art. 142, 45,54, 55, 80, 104, 105, 142 inc. 1° y 3°, 166 inc. 2°, segundo párrafo, 189 bis inc. 2° cuarto párrafo</w:t>
      </w:r>
      <w:r w:rsidR="00AA144D" w:rsidRPr="005A38FF">
        <w:rPr>
          <w:rFonts w:ascii="Times New Roman" w:hAnsi="Times New Roman" w:cs="Times New Roman"/>
          <w:bCs/>
          <w:sz w:val="22"/>
        </w:rPr>
        <w:t>, todos</w:t>
      </w:r>
      <w:r w:rsidRPr="005A38FF">
        <w:rPr>
          <w:rFonts w:ascii="Times New Roman" w:hAnsi="Times New Roman" w:cs="Times New Roman"/>
          <w:bCs/>
          <w:sz w:val="22"/>
        </w:rPr>
        <w:t xml:space="preserve"> del Código Penal de la Nación.</w:t>
      </w:r>
    </w:p>
  </w:footnote>
  <w:footnote w:id="6">
    <w:p w14:paraId="279080A9" w14:textId="77777777" w:rsidR="00E50F63" w:rsidRPr="00F96301" w:rsidRDefault="00E50F63" w:rsidP="005A38FF">
      <w:pPr>
        <w:pStyle w:val="FootnoteText"/>
        <w:jc w:val="both"/>
        <w:rPr>
          <w:lang w:val="pt-BR"/>
        </w:rPr>
      </w:pPr>
      <w:r w:rsidRPr="005A38FF">
        <w:rPr>
          <w:rStyle w:val="FootnoteReference"/>
          <w:rFonts w:ascii="Times New Roman" w:hAnsi="Times New Roman" w:cs="Times New Roman"/>
          <w:sz w:val="22"/>
        </w:rPr>
        <w:footnoteRef/>
      </w:r>
      <w:r w:rsidRPr="005A38FF">
        <w:rPr>
          <w:rFonts w:ascii="Times New Roman" w:hAnsi="Times New Roman" w:cs="Times New Roman"/>
          <w:sz w:val="22"/>
          <w:lang w:val="pt-BR"/>
        </w:rPr>
        <w:t xml:space="preserve"> Causa N° 73079</w:t>
      </w:r>
      <w:r w:rsidR="006336FD" w:rsidRPr="005A38FF">
        <w:rPr>
          <w:rFonts w:ascii="Times New Roman" w:hAnsi="Times New Roman" w:cs="Times New Roman"/>
          <w:sz w:val="22"/>
          <w:lang w:val="pt-BR"/>
        </w:rPr>
        <w:t>.</w:t>
      </w:r>
    </w:p>
  </w:footnote>
  <w:footnote w:id="7">
    <w:p w14:paraId="6DA49627" w14:textId="77777777" w:rsidR="0018541A" w:rsidRPr="005A38FF" w:rsidRDefault="0018541A" w:rsidP="005A38FF">
      <w:pPr>
        <w:pStyle w:val="FootnoteText"/>
        <w:jc w:val="both"/>
        <w:rPr>
          <w:rFonts w:ascii="Times New Roman" w:hAnsi="Times New Roman" w:cs="Times New Roman"/>
          <w:sz w:val="22"/>
          <w:szCs w:val="22"/>
        </w:rPr>
      </w:pPr>
      <w:r w:rsidRPr="005A38FF">
        <w:rPr>
          <w:rStyle w:val="FootnoteReference"/>
          <w:rFonts w:ascii="Times New Roman" w:hAnsi="Times New Roman" w:cs="Times New Roman"/>
          <w:sz w:val="22"/>
          <w:szCs w:val="22"/>
        </w:rPr>
        <w:footnoteRef/>
      </w:r>
      <w:r w:rsidRPr="005A38FF">
        <w:rPr>
          <w:rFonts w:ascii="Times New Roman" w:hAnsi="Times New Roman" w:cs="Times New Roman"/>
          <w:sz w:val="22"/>
          <w:szCs w:val="22"/>
          <w:lang w:val="pt-BR"/>
        </w:rPr>
        <w:t xml:space="preserve"> Corte IDH. Caso Díaz </w:t>
      </w:r>
      <w:proofErr w:type="spellStart"/>
      <w:r w:rsidRPr="005A38FF">
        <w:rPr>
          <w:rFonts w:ascii="Times New Roman" w:hAnsi="Times New Roman" w:cs="Times New Roman"/>
          <w:sz w:val="22"/>
          <w:szCs w:val="22"/>
          <w:lang w:val="pt-BR"/>
        </w:rPr>
        <w:t>Peña</w:t>
      </w:r>
      <w:proofErr w:type="spellEnd"/>
      <w:r w:rsidRPr="005A38FF">
        <w:rPr>
          <w:rFonts w:ascii="Times New Roman" w:hAnsi="Times New Roman" w:cs="Times New Roman"/>
          <w:sz w:val="22"/>
          <w:szCs w:val="22"/>
          <w:lang w:val="pt-BR"/>
        </w:rPr>
        <w:t xml:space="preserve">. 2012. </w:t>
      </w:r>
      <w:proofErr w:type="spellStart"/>
      <w:r w:rsidRPr="005A38FF">
        <w:rPr>
          <w:rFonts w:ascii="Times New Roman" w:hAnsi="Times New Roman" w:cs="Times New Roman"/>
          <w:sz w:val="22"/>
          <w:szCs w:val="22"/>
          <w:lang w:val="pt-BR"/>
        </w:rPr>
        <w:t>Párr</w:t>
      </w:r>
      <w:proofErr w:type="spellEnd"/>
      <w:r w:rsidRPr="005A38FF">
        <w:rPr>
          <w:rFonts w:ascii="Times New Roman" w:hAnsi="Times New Roman" w:cs="Times New Roman"/>
          <w:sz w:val="22"/>
          <w:szCs w:val="22"/>
          <w:lang w:val="pt-BR"/>
        </w:rPr>
        <w:t xml:space="preserve">. 137; Corte IDH. Caso </w:t>
      </w:r>
      <w:proofErr w:type="spellStart"/>
      <w:r w:rsidRPr="005A38FF">
        <w:rPr>
          <w:rFonts w:ascii="Times New Roman" w:hAnsi="Times New Roman" w:cs="Times New Roman"/>
          <w:sz w:val="22"/>
          <w:szCs w:val="22"/>
          <w:lang w:val="pt-BR"/>
        </w:rPr>
        <w:t>Montero</w:t>
      </w:r>
      <w:proofErr w:type="spellEnd"/>
      <w:r w:rsidRPr="005A38FF">
        <w:rPr>
          <w:rFonts w:ascii="Times New Roman" w:hAnsi="Times New Roman" w:cs="Times New Roman"/>
          <w:sz w:val="22"/>
          <w:szCs w:val="22"/>
          <w:lang w:val="pt-BR"/>
        </w:rPr>
        <w:t xml:space="preserve"> </w:t>
      </w:r>
      <w:proofErr w:type="spellStart"/>
      <w:r w:rsidRPr="005A38FF">
        <w:rPr>
          <w:rFonts w:ascii="Times New Roman" w:hAnsi="Times New Roman" w:cs="Times New Roman"/>
          <w:sz w:val="22"/>
          <w:szCs w:val="22"/>
          <w:lang w:val="pt-BR"/>
        </w:rPr>
        <w:t>Aranguren</w:t>
      </w:r>
      <w:proofErr w:type="spellEnd"/>
      <w:r w:rsidRPr="005A38FF">
        <w:rPr>
          <w:rFonts w:ascii="Times New Roman" w:hAnsi="Times New Roman" w:cs="Times New Roman"/>
          <w:sz w:val="22"/>
          <w:szCs w:val="22"/>
          <w:lang w:val="pt-BR"/>
        </w:rPr>
        <w:t xml:space="preserve">. 2006 </w:t>
      </w:r>
      <w:proofErr w:type="spellStart"/>
      <w:r w:rsidRPr="005A38FF">
        <w:rPr>
          <w:rFonts w:ascii="Times New Roman" w:hAnsi="Times New Roman" w:cs="Times New Roman"/>
          <w:sz w:val="22"/>
          <w:szCs w:val="22"/>
          <w:lang w:val="pt-BR"/>
        </w:rPr>
        <w:t>Párr</w:t>
      </w:r>
      <w:proofErr w:type="spellEnd"/>
      <w:r w:rsidRPr="005A38FF">
        <w:rPr>
          <w:rFonts w:ascii="Times New Roman" w:hAnsi="Times New Roman" w:cs="Times New Roman"/>
          <w:sz w:val="22"/>
          <w:szCs w:val="22"/>
          <w:lang w:val="pt-BR"/>
        </w:rPr>
        <w:t xml:space="preserve">. 102; Corte IDH. Caso Vélez </w:t>
      </w:r>
      <w:proofErr w:type="spellStart"/>
      <w:r w:rsidRPr="005A38FF">
        <w:rPr>
          <w:rFonts w:ascii="Times New Roman" w:hAnsi="Times New Roman" w:cs="Times New Roman"/>
          <w:sz w:val="22"/>
          <w:szCs w:val="22"/>
          <w:lang w:val="pt-BR"/>
        </w:rPr>
        <w:t>Loor</w:t>
      </w:r>
      <w:proofErr w:type="spellEnd"/>
      <w:r w:rsidRPr="005A38FF">
        <w:rPr>
          <w:rFonts w:ascii="Times New Roman" w:hAnsi="Times New Roman" w:cs="Times New Roman"/>
          <w:sz w:val="22"/>
          <w:szCs w:val="22"/>
          <w:lang w:val="pt-BR"/>
        </w:rPr>
        <w:t xml:space="preserve">. 2010. </w:t>
      </w:r>
      <w:proofErr w:type="spellStart"/>
      <w:r w:rsidRPr="005A38FF">
        <w:rPr>
          <w:rFonts w:ascii="Times New Roman" w:hAnsi="Times New Roman" w:cs="Times New Roman"/>
          <w:sz w:val="22"/>
          <w:szCs w:val="22"/>
          <w:lang w:val="pt-BR"/>
        </w:rPr>
        <w:t>Párr</w:t>
      </w:r>
      <w:proofErr w:type="spellEnd"/>
      <w:r w:rsidRPr="005A38FF">
        <w:rPr>
          <w:rFonts w:ascii="Times New Roman" w:hAnsi="Times New Roman" w:cs="Times New Roman"/>
          <w:sz w:val="22"/>
          <w:szCs w:val="22"/>
          <w:lang w:val="pt-BR"/>
        </w:rPr>
        <w:t xml:space="preserve">. 220, Corte IDH. Caso Vera </w:t>
      </w:r>
      <w:proofErr w:type="spellStart"/>
      <w:r w:rsidRPr="005A38FF">
        <w:rPr>
          <w:rFonts w:ascii="Times New Roman" w:hAnsi="Times New Roman" w:cs="Times New Roman"/>
          <w:sz w:val="22"/>
          <w:szCs w:val="22"/>
          <w:lang w:val="pt-BR"/>
        </w:rPr>
        <w:t>Vera</w:t>
      </w:r>
      <w:proofErr w:type="spellEnd"/>
      <w:r w:rsidRPr="005A38FF">
        <w:rPr>
          <w:rFonts w:ascii="Times New Roman" w:hAnsi="Times New Roman" w:cs="Times New Roman"/>
          <w:sz w:val="22"/>
          <w:szCs w:val="22"/>
          <w:lang w:val="pt-BR"/>
        </w:rPr>
        <w:t xml:space="preserve">. 2011. </w:t>
      </w:r>
      <w:proofErr w:type="spellStart"/>
      <w:r w:rsidRPr="005A38FF">
        <w:rPr>
          <w:rFonts w:ascii="Times New Roman" w:hAnsi="Times New Roman" w:cs="Times New Roman"/>
          <w:sz w:val="22"/>
          <w:szCs w:val="22"/>
          <w:lang w:val="pt-BR"/>
        </w:rPr>
        <w:t>Párr</w:t>
      </w:r>
      <w:proofErr w:type="spellEnd"/>
      <w:r w:rsidRPr="005A38FF">
        <w:rPr>
          <w:rFonts w:ascii="Times New Roman" w:hAnsi="Times New Roman" w:cs="Times New Roman"/>
          <w:sz w:val="22"/>
          <w:szCs w:val="22"/>
          <w:lang w:val="pt-BR"/>
        </w:rPr>
        <w:t xml:space="preserve">. 42; Corte IDH. </w:t>
      </w:r>
      <w:r w:rsidRPr="005A38FF">
        <w:rPr>
          <w:rFonts w:ascii="Times New Roman" w:hAnsi="Times New Roman" w:cs="Times New Roman"/>
          <w:sz w:val="22"/>
          <w:szCs w:val="22"/>
        </w:rPr>
        <w:t>Caso García Asto y Ramírez Rojas. 2005. Párr. 226 y 227; Corte IDH. Caso Tibi Vs. Ecuador. 2004. Párr. 156; Corte IDH. Caso De la Cruz Flores. 2004.Párr. 132.</w:t>
      </w:r>
    </w:p>
  </w:footnote>
  <w:footnote w:id="8">
    <w:p w14:paraId="5E21504D" w14:textId="77777777" w:rsidR="001663FC" w:rsidRDefault="001663FC" w:rsidP="005A38FF">
      <w:pPr>
        <w:pStyle w:val="FootnoteText"/>
        <w:jc w:val="both"/>
      </w:pPr>
      <w:r w:rsidRPr="005A38FF">
        <w:rPr>
          <w:rStyle w:val="FootnoteReference"/>
          <w:rFonts w:ascii="Times New Roman" w:hAnsi="Times New Roman" w:cs="Times New Roman"/>
          <w:sz w:val="22"/>
          <w:szCs w:val="22"/>
        </w:rPr>
        <w:footnoteRef/>
      </w:r>
      <w:r w:rsidRPr="005A38FF">
        <w:rPr>
          <w:rFonts w:ascii="Times New Roman" w:hAnsi="Times New Roman" w:cs="Times New Roman"/>
          <w:sz w:val="22"/>
          <w:szCs w:val="22"/>
        </w:rPr>
        <w:t xml:space="preserve"> </w:t>
      </w:r>
      <w:r w:rsidRPr="005A38FF">
        <w:rPr>
          <w:rFonts w:ascii="Times New Roman" w:hAnsi="Times New Roman" w:cs="Times New Roman"/>
          <w:sz w:val="22"/>
          <w:szCs w:val="22"/>
        </w:rPr>
        <w:t>Departamento judicial de San Martín, Causa N°21.272</w:t>
      </w:r>
    </w:p>
  </w:footnote>
  <w:footnote w:id="9">
    <w:p w14:paraId="3F1276CF" w14:textId="77777777" w:rsidR="00BA3A5E" w:rsidRPr="005A38FF" w:rsidRDefault="00BA3A5E" w:rsidP="005A38FF">
      <w:pPr>
        <w:pStyle w:val="FootnoteText"/>
        <w:jc w:val="both"/>
        <w:rPr>
          <w:rFonts w:ascii="Times New Roman" w:hAnsi="Times New Roman" w:cs="Times New Roman"/>
          <w:sz w:val="22"/>
          <w:szCs w:val="22"/>
        </w:rPr>
      </w:pPr>
      <w:r w:rsidRPr="005A38FF">
        <w:rPr>
          <w:rStyle w:val="FootnoteReference"/>
          <w:rFonts w:ascii="Times New Roman" w:hAnsi="Times New Roman" w:cs="Times New Roman"/>
          <w:sz w:val="22"/>
          <w:szCs w:val="22"/>
        </w:rPr>
        <w:footnoteRef/>
      </w:r>
      <w:r w:rsidRPr="005A38FF">
        <w:rPr>
          <w:rFonts w:ascii="Times New Roman" w:hAnsi="Times New Roman" w:cs="Times New Roman"/>
          <w:sz w:val="22"/>
          <w:szCs w:val="22"/>
        </w:rPr>
        <w:t xml:space="preserve"> </w:t>
      </w:r>
      <w:r w:rsidR="00483D83" w:rsidRPr="005A38FF">
        <w:rPr>
          <w:rFonts w:ascii="Times New Roman" w:hAnsi="Times New Roman" w:cs="Times New Roman"/>
          <w:sz w:val="22"/>
          <w:szCs w:val="22"/>
        </w:rPr>
        <w:t xml:space="preserve">Relatoría sobre los Derechos de Personas Privadas de Libertad. </w:t>
      </w:r>
      <w:r w:rsidRPr="005A38FF">
        <w:rPr>
          <w:rFonts w:ascii="Times New Roman" w:hAnsi="Times New Roman" w:cs="Times New Roman"/>
          <w:sz w:val="22"/>
          <w:szCs w:val="22"/>
        </w:rPr>
        <w:t>I</w:t>
      </w:r>
      <w:r w:rsidRPr="005A38FF">
        <w:rPr>
          <w:rFonts w:ascii="Times New Roman" w:hAnsi="Times New Roman" w:cs="Times New Roman"/>
          <w:bCs/>
          <w:sz w:val="22"/>
          <w:szCs w:val="22"/>
        </w:rPr>
        <w:t>nforme provisional N° 151/16</w:t>
      </w:r>
      <w:r w:rsidR="00483D83" w:rsidRPr="005A38FF">
        <w:rPr>
          <w:rFonts w:ascii="Times New Roman" w:hAnsi="Times New Roman" w:cs="Times New Roman"/>
          <w:bCs/>
          <w:sz w:val="22"/>
          <w:szCs w:val="22"/>
        </w:rPr>
        <w:t>. Disponible e</w:t>
      </w:r>
      <w:r w:rsidRPr="005A38FF">
        <w:rPr>
          <w:rFonts w:ascii="Times New Roman" w:hAnsi="Times New Roman" w:cs="Times New Roman"/>
          <w:bCs/>
          <w:sz w:val="22"/>
          <w:szCs w:val="22"/>
        </w:rPr>
        <w:t>n http://www.oas.org/es/cidh/prensa/comunicados/2016/151.asp</w:t>
      </w:r>
    </w:p>
  </w:footnote>
  <w:footnote w:id="10">
    <w:p w14:paraId="4264BF10" w14:textId="77777777" w:rsidR="00BF0CD2" w:rsidRPr="003E6919" w:rsidRDefault="00BF0CD2" w:rsidP="005A38FF">
      <w:pPr>
        <w:pStyle w:val="FootnoteText"/>
        <w:jc w:val="both"/>
        <w:rPr>
          <w:rFonts w:ascii="Times New Roman" w:hAnsi="Times New Roman" w:cs="Times New Roman"/>
        </w:rPr>
      </w:pPr>
      <w:r w:rsidRPr="005A38FF">
        <w:rPr>
          <w:rStyle w:val="FootnoteReference"/>
          <w:rFonts w:ascii="Times New Roman" w:hAnsi="Times New Roman" w:cs="Times New Roman"/>
          <w:sz w:val="22"/>
          <w:szCs w:val="22"/>
        </w:rPr>
        <w:footnoteRef/>
      </w:r>
      <w:r w:rsidRPr="005A38FF">
        <w:rPr>
          <w:rFonts w:ascii="Times New Roman" w:hAnsi="Times New Roman" w:cs="Times New Roman"/>
          <w:sz w:val="22"/>
          <w:szCs w:val="22"/>
        </w:rPr>
        <w:t xml:space="preserve"> </w:t>
      </w:r>
      <w:r w:rsidRPr="005A38FF">
        <w:rPr>
          <w:rFonts w:ascii="Times New Roman" w:hAnsi="Times New Roman" w:cs="Times New Roman"/>
          <w:sz w:val="22"/>
          <w:szCs w:val="22"/>
        </w:rPr>
        <w:t>Los destacados son nuestros.</w:t>
      </w:r>
    </w:p>
  </w:footnote>
  <w:footnote w:id="11">
    <w:p w14:paraId="2E0296D0" w14:textId="77777777" w:rsidR="00A007B1" w:rsidRPr="00FD2E7B" w:rsidRDefault="00A007B1">
      <w:pPr>
        <w:pStyle w:val="FootnoteText"/>
        <w:rPr>
          <w:rFonts w:ascii="Times New Roman" w:hAnsi="Times New Roman" w:cs="Times New Roman"/>
        </w:rPr>
      </w:pPr>
      <w:r w:rsidRPr="00FD2E7B">
        <w:rPr>
          <w:rStyle w:val="FootnoteReference"/>
          <w:rFonts w:ascii="Times New Roman" w:hAnsi="Times New Roman" w:cs="Times New Roman"/>
          <w:sz w:val="22"/>
        </w:rPr>
        <w:footnoteRef/>
      </w:r>
      <w:r w:rsidRPr="00FD2E7B">
        <w:rPr>
          <w:rFonts w:ascii="Times New Roman" w:hAnsi="Times New Roman" w:cs="Times New Roman"/>
          <w:sz w:val="22"/>
        </w:rPr>
        <w:t xml:space="preserve"> </w:t>
      </w:r>
      <w:r w:rsidRPr="00FD2E7B">
        <w:rPr>
          <w:rFonts w:ascii="Times New Roman" w:hAnsi="Times New Roman" w:cs="Times New Roman"/>
          <w:sz w:val="22"/>
        </w:rPr>
        <w:t>Nombre de una Comunidad Indígena en context</w:t>
      </w:r>
      <w:r w:rsidR="0094012F" w:rsidRPr="00FD2E7B">
        <w:rPr>
          <w:rFonts w:ascii="Times New Roman" w:hAnsi="Times New Roman" w:cs="Times New Roman"/>
          <w:sz w:val="22"/>
        </w:rPr>
        <w:t>o urbano, asentada en el municipio</w:t>
      </w:r>
      <w:r w:rsidRPr="00FD2E7B">
        <w:rPr>
          <w:rFonts w:ascii="Times New Roman" w:hAnsi="Times New Roman" w:cs="Times New Roman"/>
          <w:sz w:val="22"/>
        </w:rPr>
        <w:t xml:space="preserve"> de Lanús, zona sur del conurbano bonaerense.</w:t>
      </w:r>
    </w:p>
  </w:footnote>
  <w:footnote w:id="12">
    <w:p w14:paraId="346086C6" w14:textId="77777777" w:rsidR="0092417F" w:rsidRPr="00963D23" w:rsidRDefault="0092417F" w:rsidP="00FD2E7B">
      <w:pPr>
        <w:pStyle w:val="FootnoteText"/>
        <w:jc w:val="both"/>
        <w:rPr>
          <w:rFonts w:ascii="Times New Roman" w:hAnsi="Times New Roman" w:cs="Times New Roman"/>
        </w:rPr>
      </w:pPr>
      <w:r w:rsidRPr="00FD2E7B">
        <w:rPr>
          <w:rStyle w:val="FootnoteReference"/>
          <w:rFonts w:ascii="Times New Roman" w:hAnsi="Times New Roman" w:cs="Times New Roman"/>
          <w:sz w:val="22"/>
        </w:rPr>
        <w:footnoteRef/>
      </w:r>
      <w:r w:rsidRPr="00FD2E7B">
        <w:rPr>
          <w:rFonts w:ascii="Times New Roman" w:hAnsi="Times New Roman" w:cs="Times New Roman"/>
          <w:sz w:val="22"/>
        </w:rPr>
        <w:t xml:space="preserve"> </w:t>
      </w:r>
      <w:r w:rsidRPr="00FD2E7B">
        <w:rPr>
          <w:rFonts w:ascii="Times New Roman" w:hAnsi="Times New Roman" w:cs="Times New Roman"/>
          <w:sz w:val="22"/>
        </w:rPr>
        <w:t>Artículo 6 del Convenio 169 de la O</w:t>
      </w:r>
      <w:r w:rsidR="00581C61" w:rsidRPr="00FD2E7B">
        <w:rPr>
          <w:rFonts w:ascii="Times New Roman" w:hAnsi="Times New Roman" w:cs="Times New Roman"/>
          <w:sz w:val="22"/>
        </w:rPr>
        <w:t>rganización Internacional del Trabajo (OI</w:t>
      </w:r>
      <w:r w:rsidRPr="00FD2E7B">
        <w:rPr>
          <w:rFonts w:ascii="Times New Roman" w:hAnsi="Times New Roman" w:cs="Times New Roman"/>
          <w:sz w:val="22"/>
        </w:rPr>
        <w:t>T</w:t>
      </w:r>
      <w:r w:rsidR="00581C61" w:rsidRPr="00FD2E7B">
        <w:rPr>
          <w:rFonts w:ascii="Times New Roman" w:hAnsi="Times New Roman" w:cs="Times New Roman"/>
          <w:sz w:val="22"/>
        </w:rPr>
        <w:t>)</w:t>
      </w:r>
      <w:r w:rsidRPr="00FD2E7B">
        <w:rPr>
          <w:rFonts w:ascii="Times New Roman" w:hAnsi="Times New Roman" w:cs="Times New Roman"/>
          <w:sz w:val="22"/>
        </w:rPr>
        <w:t>, el cual fue ratificado por Argentina el 3 de julio del 2000.</w:t>
      </w:r>
    </w:p>
  </w:footnote>
  <w:footnote w:id="13">
    <w:p w14:paraId="761F3244" w14:textId="77777777" w:rsidR="0092417F" w:rsidRPr="00FD2E7B" w:rsidRDefault="0092417F" w:rsidP="0092417F">
      <w:pPr>
        <w:pStyle w:val="FootnoteText"/>
        <w:jc w:val="both"/>
        <w:rPr>
          <w:rFonts w:ascii="Times New Roman" w:hAnsi="Times New Roman" w:cs="Times New Roman"/>
          <w:sz w:val="22"/>
        </w:rPr>
      </w:pPr>
      <w:r w:rsidRPr="00FD2E7B">
        <w:rPr>
          <w:rStyle w:val="FootnoteReference"/>
          <w:rFonts w:ascii="Times New Roman" w:hAnsi="Times New Roman" w:cs="Times New Roman"/>
          <w:sz w:val="22"/>
        </w:rPr>
        <w:footnoteRef/>
      </w:r>
      <w:r w:rsidRPr="00FD2E7B">
        <w:rPr>
          <w:rFonts w:ascii="Times New Roman" w:hAnsi="Times New Roman" w:cs="Times New Roman"/>
          <w:sz w:val="22"/>
        </w:rPr>
        <w:t xml:space="preserve"> </w:t>
      </w:r>
      <w:r w:rsidRPr="00FD2E7B">
        <w:rPr>
          <w:rFonts w:ascii="Times New Roman" w:hAnsi="Times New Roman" w:cs="Times New Roman"/>
          <w:sz w:val="22"/>
        </w:rPr>
        <w:t>El Poder Judicial de Formosa le negó a Erma Peteñik, viuda del indígena asesinado Roberto López, la posibilidad de ser querellante en la causa penal que investiga los hechos acontecidos el día de la represión. A esta muerte, se suma la del hermano Mario López “atropellado” al día siguiente cuando se dirigía al lugar de los hechos con el fin de investigar lo acontecido.</w:t>
      </w:r>
    </w:p>
  </w:footnote>
  <w:footnote w:id="14">
    <w:p w14:paraId="25D860D4" w14:textId="77777777" w:rsidR="0092417F" w:rsidRPr="00FD2E7B" w:rsidRDefault="0092417F" w:rsidP="0092417F">
      <w:pPr>
        <w:pStyle w:val="FootnoteText"/>
        <w:jc w:val="both"/>
        <w:rPr>
          <w:rFonts w:ascii="Times New Roman" w:hAnsi="Times New Roman" w:cs="Times New Roman"/>
          <w:sz w:val="22"/>
        </w:rPr>
      </w:pPr>
      <w:r w:rsidRPr="00FD2E7B">
        <w:rPr>
          <w:rStyle w:val="FootnoteReference"/>
          <w:rFonts w:ascii="Times New Roman" w:hAnsi="Times New Roman" w:cs="Times New Roman"/>
          <w:sz w:val="22"/>
        </w:rPr>
        <w:footnoteRef/>
      </w:r>
      <w:r w:rsidRPr="00FD2E7B">
        <w:rPr>
          <w:rFonts w:ascii="Times New Roman" w:hAnsi="Times New Roman" w:cs="Times New Roman"/>
          <w:sz w:val="22"/>
        </w:rPr>
        <w:t xml:space="preserve"> </w:t>
      </w:r>
      <w:r w:rsidRPr="00FD2E7B">
        <w:rPr>
          <w:rFonts w:ascii="Times New Roman" w:hAnsi="Times New Roman" w:cs="Times New Roman"/>
          <w:sz w:val="22"/>
        </w:rPr>
        <w:t>J</w:t>
      </w:r>
      <w:r w:rsidR="00D40A5D" w:rsidRPr="00FD2E7B">
        <w:rPr>
          <w:rFonts w:ascii="Times New Roman" w:hAnsi="Times New Roman" w:cs="Times New Roman"/>
          <w:sz w:val="22"/>
        </w:rPr>
        <w:t>uzgado Criminal y Correccional N</w:t>
      </w:r>
      <w:r w:rsidRPr="00FD2E7B">
        <w:rPr>
          <w:rFonts w:ascii="Times New Roman" w:hAnsi="Times New Roman" w:cs="Times New Roman"/>
          <w:sz w:val="22"/>
        </w:rPr>
        <w:t>° 2 de Clorinda, Expediente N° 1157/2010.</w:t>
      </w:r>
    </w:p>
  </w:footnote>
  <w:footnote w:id="15">
    <w:p w14:paraId="79075DE2" w14:textId="77777777" w:rsidR="0092417F" w:rsidRPr="00FD2E7B" w:rsidRDefault="0092417F" w:rsidP="0092417F">
      <w:pPr>
        <w:pStyle w:val="FootnoteText"/>
        <w:jc w:val="both"/>
        <w:rPr>
          <w:rFonts w:ascii="Times New Roman" w:hAnsi="Times New Roman" w:cs="Times New Roman"/>
          <w:sz w:val="22"/>
        </w:rPr>
      </w:pPr>
      <w:r w:rsidRPr="00FD2E7B">
        <w:rPr>
          <w:rStyle w:val="FootnoteReference"/>
          <w:rFonts w:ascii="Times New Roman" w:hAnsi="Times New Roman" w:cs="Times New Roman"/>
          <w:sz w:val="22"/>
        </w:rPr>
        <w:footnoteRef/>
      </w:r>
      <w:r w:rsidRPr="00FD2E7B">
        <w:rPr>
          <w:rFonts w:ascii="Times New Roman" w:hAnsi="Times New Roman" w:cs="Times New Roman"/>
          <w:sz w:val="22"/>
        </w:rPr>
        <w:t xml:space="preserve"> J</w:t>
      </w:r>
      <w:r w:rsidR="00D40A5D" w:rsidRPr="00FD2E7B">
        <w:rPr>
          <w:rFonts w:ascii="Times New Roman" w:hAnsi="Times New Roman" w:cs="Times New Roman"/>
          <w:sz w:val="22"/>
        </w:rPr>
        <w:t>uzgado Criminal y Correccional N</w:t>
      </w:r>
      <w:r w:rsidRPr="00FD2E7B">
        <w:rPr>
          <w:rFonts w:ascii="Times New Roman" w:hAnsi="Times New Roman" w:cs="Times New Roman"/>
          <w:sz w:val="22"/>
        </w:rPr>
        <w:t xml:space="preserve">° 2 de Clorinda, </w:t>
      </w:r>
      <w:r w:rsidRPr="00FD2E7B">
        <w:rPr>
          <w:rFonts w:ascii="Times New Roman" w:hAnsi="Times New Roman" w:cs="Times New Roman"/>
          <w:sz w:val="22"/>
        </w:rPr>
        <w:t>Sanagachi, Clemente; Kisinakay Miguel; Sanagachi, Feliciano; Díaz Félix; Asijak Pablo y otros s/ Usurpación, Expediente N° 672/2011.</w:t>
      </w:r>
    </w:p>
  </w:footnote>
  <w:footnote w:id="16">
    <w:p w14:paraId="2AA9A223" w14:textId="77777777" w:rsidR="0092417F" w:rsidRPr="00963D23" w:rsidRDefault="0092417F" w:rsidP="0092417F">
      <w:pPr>
        <w:pStyle w:val="FootnoteText"/>
        <w:jc w:val="both"/>
        <w:rPr>
          <w:rFonts w:ascii="Times New Roman" w:hAnsi="Times New Roman" w:cs="Times New Roman"/>
        </w:rPr>
      </w:pPr>
      <w:r w:rsidRPr="00FD2E7B">
        <w:rPr>
          <w:rStyle w:val="FootnoteReference"/>
          <w:rFonts w:ascii="Times New Roman" w:hAnsi="Times New Roman" w:cs="Times New Roman"/>
          <w:sz w:val="22"/>
        </w:rPr>
        <w:footnoteRef/>
      </w:r>
      <w:r w:rsidRPr="00FD2E7B">
        <w:rPr>
          <w:rFonts w:ascii="Times New Roman" w:hAnsi="Times New Roman" w:cs="Times New Roman"/>
          <w:sz w:val="22"/>
        </w:rPr>
        <w:t xml:space="preserve"> </w:t>
      </w:r>
      <w:r w:rsidRPr="00FD2E7B">
        <w:rPr>
          <w:rFonts w:ascii="Times New Roman" w:hAnsi="Times New Roman" w:cs="Times New Roman"/>
          <w:sz w:val="22"/>
        </w:rPr>
        <w:t>Juzgado Criminal y Correccional n° 2 de Clorinda, Díaz Félix s/ Robo; Fernández, Eugenio Eidem s/ Abuso sexual y robo, Expediente N° 742/2011.</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73F3"/>
    <w:multiLevelType w:val="hybridMultilevel"/>
    <w:tmpl w:val="1B9EC056"/>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8210851"/>
    <w:multiLevelType w:val="hybridMultilevel"/>
    <w:tmpl w:val="D9763B4C"/>
    <w:lvl w:ilvl="0" w:tplc="41249594">
      <w:start w:val="1"/>
      <w:numFmt w:val="upperLetter"/>
      <w:lvlText w:val="%1."/>
      <w:lvlJc w:val="left"/>
      <w:pPr>
        <w:ind w:left="660" w:hanging="360"/>
      </w:pPr>
      <w:rPr>
        <w:rFonts w:hint="default"/>
      </w:rPr>
    </w:lvl>
    <w:lvl w:ilvl="1" w:tplc="04160019" w:tentative="1">
      <w:start w:val="1"/>
      <w:numFmt w:val="lowerLetter"/>
      <w:lvlText w:val="%2."/>
      <w:lvlJc w:val="left"/>
      <w:pPr>
        <w:ind w:left="1380" w:hanging="360"/>
      </w:pPr>
    </w:lvl>
    <w:lvl w:ilvl="2" w:tplc="0416001B" w:tentative="1">
      <w:start w:val="1"/>
      <w:numFmt w:val="lowerRoman"/>
      <w:lvlText w:val="%3."/>
      <w:lvlJc w:val="right"/>
      <w:pPr>
        <w:ind w:left="2100" w:hanging="180"/>
      </w:pPr>
    </w:lvl>
    <w:lvl w:ilvl="3" w:tplc="0416000F" w:tentative="1">
      <w:start w:val="1"/>
      <w:numFmt w:val="decimal"/>
      <w:lvlText w:val="%4."/>
      <w:lvlJc w:val="left"/>
      <w:pPr>
        <w:ind w:left="2820" w:hanging="360"/>
      </w:pPr>
    </w:lvl>
    <w:lvl w:ilvl="4" w:tplc="04160019" w:tentative="1">
      <w:start w:val="1"/>
      <w:numFmt w:val="lowerLetter"/>
      <w:lvlText w:val="%5."/>
      <w:lvlJc w:val="left"/>
      <w:pPr>
        <w:ind w:left="3540" w:hanging="360"/>
      </w:pPr>
    </w:lvl>
    <w:lvl w:ilvl="5" w:tplc="0416001B" w:tentative="1">
      <w:start w:val="1"/>
      <w:numFmt w:val="lowerRoman"/>
      <w:lvlText w:val="%6."/>
      <w:lvlJc w:val="right"/>
      <w:pPr>
        <w:ind w:left="4260" w:hanging="180"/>
      </w:pPr>
    </w:lvl>
    <w:lvl w:ilvl="6" w:tplc="0416000F" w:tentative="1">
      <w:start w:val="1"/>
      <w:numFmt w:val="decimal"/>
      <w:lvlText w:val="%7."/>
      <w:lvlJc w:val="left"/>
      <w:pPr>
        <w:ind w:left="4980" w:hanging="360"/>
      </w:pPr>
    </w:lvl>
    <w:lvl w:ilvl="7" w:tplc="04160019" w:tentative="1">
      <w:start w:val="1"/>
      <w:numFmt w:val="lowerLetter"/>
      <w:lvlText w:val="%8."/>
      <w:lvlJc w:val="left"/>
      <w:pPr>
        <w:ind w:left="5700" w:hanging="360"/>
      </w:pPr>
    </w:lvl>
    <w:lvl w:ilvl="8" w:tplc="0416001B" w:tentative="1">
      <w:start w:val="1"/>
      <w:numFmt w:val="lowerRoman"/>
      <w:lvlText w:val="%9."/>
      <w:lvlJc w:val="right"/>
      <w:pPr>
        <w:ind w:left="6420" w:hanging="180"/>
      </w:pPr>
    </w:lvl>
  </w:abstractNum>
  <w:abstractNum w:abstractNumId="2">
    <w:nsid w:val="668A0FEE"/>
    <w:multiLevelType w:val="hybridMultilevel"/>
    <w:tmpl w:val="1DA21138"/>
    <w:lvl w:ilvl="0" w:tplc="65ACE73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15502"/>
    <w:rsid w:val="00036DE4"/>
    <w:rsid w:val="00052B81"/>
    <w:rsid w:val="000556D4"/>
    <w:rsid w:val="00071B21"/>
    <w:rsid w:val="000720A4"/>
    <w:rsid w:val="0008293A"/>
    <w:rsid w:val="000914FC"/>
    <w:rsid w:val="0009687B"/>
    <w:rsid w:val="000A3B73"/>
    <w:rsid w:val="000B7CE7"/>
    <w:rsid w:val="000C45FB"/>
    <w:rsid w:val="000F0252"/>
    <w:rsid w:val="000F73B1"/>
    <w:rsid w:val="00102E46"/>
    <w:rsid w:val="0010344E"/>
    <w:rsid w:val="00104209"/>
    <w:rsid w:val="00106E76"/>
    <w:rsid w:val="001243C5"/>
    <w:rsid w:val="00130645"/>
    <w:rsid w:val="00137301"/>
    <w:rsid w:val="00146766"/>
    <w:rsid w:val="00146D1A"/>
    <w:rsid w:val="00163478"/>
    <w:rsid w:val="001663FC"/>
    <w:rsid w:val="0018541A"/>
    <w:rsid w:val="00187D2C"/>
    <w:rsid w:val="00192A24"/>
    <w:rsid w:val="0019612F"/>
    <w:rsid w:val="001A565E"/>
    <w:rsid w:val="001A6E03"/>
    <w:rsid w:val="001B52C1"/>
    <w:rsid w:val="001C08B8"/>
    <w:rsid w:val="001E4261"/>
    <w:rsid w:val="00207A1C"/>
    <w:rsid w:val="00220F86"/>
    <w:rsid w:val="00224AE8"/>
    <w:rsid w:val="00245713"/>
    <w:rsid w:val="002652AD"/>
    <w:rsid w:val="00271205"/>
    <w:rsid w:val="00273703"/>
    <w:rsid w:val="00275AA2"/>
    <w:rsid w:val="0028170A"/>
    <w:rsid w:val="0028765B"/>
    <w:rsid w:val="00294842"/>
    <w:rsid w:val="002A3188"/>
    <w:rsid w:val="002C5815"/>
    <w:rsid w:val="002D0934"/>
    <w:rsid w:val="002D123C"/>
    <w:rsid w:val="002F63AF"/>
    <w:rsid w:val="0030006E"/>
    <w:rsid w:val="00322564"/>
    <w:rsid w:val="00346D2D"/>
    <w:rsid w:val="0035087C"/>
    <w:rsid w:val="003517EC"/>
    <w:rsid w:val="003607B3"/>
    <w:rsid w:val="00371C69"/>
    <w:rsid w:val="00376E1A"/>
    <w:rsid w:val="00377523"/>
    <w:rsid w:val="003870B9"/>
    <w:rsid w:val="003A57D6"/>
    <w:rsid w:val="003A65A4"/>
    <w:rsid w:val="003B52A1"/>
    <w:rsid w:val="003C5099"/>
    <w:rsid w:val="003D78F2"/>
    <w:rsid w:val="003E1651"/>
    <w:rsid w:val="003E6919"/>
    <w:rsid w:val="003F5A6F"/>
    <w:rsid w:val="00405246"/>
    <w:rsid w:val="0040755D"/>
    <w:rsid w:val="00411B65"/>
    <w:rsid w:val="004142C6"/>
    <w:rsid w:val="00427E91"/>
    <w:rsid w:val="004470C6"/>
    <w:rsid w:val="0045189E"/>
    <w:rsid w:val="00465F97"/>
    <w:rsid w:val="0047026A"/>
    <w:rsid w:val="0047639B"/>
    <w:rsid w:val="004814E9"/>
    <w:rsid w:val="00482171"/>
    <w:rsid w:val="00483D4F"/>
    <w:rsid w:val="00483D83"/>
    <w:rsid w:val="0049055A"/>
    <w:rsid w:val="004B2AD7"/>
    <w:rsid w:val="004B42F7"/>
    <w:rsid w:val="004C6A6B"/>
    <w:rsid w:val="004F31DF"/>
    <w:rsid w:val="004F36BD"/>
    <w:rsid w:val="004F37D5"/>
    <w:rsid w:val="00506027"/>
    <w:rsid w:val="00515DCF"/>
    <w:rsid w:val="00537C60"/>
    <w:rsid w:val="005476E6"/>
    <w:rsid w:val="00552BB2"/>
    <w:rsid w:val="005637EB"/>
    <w:rsid w:val="00564DEC"/>
    <w:rsid w:val="00581C61"/>
    <w:rsid w:val="00582708"/>
    <w:rsid w:val="00585D77"/>
    <w:rsid w:val="005A181C"/>
    <w:rsid w:val="005A38FF"/>
    <w:rsid w:val="005B6BA1"/>
    <w:rsid w:val="005B7B26"/>
    <w:rsid w:val="005E0C64"/>
    <w:rsid w:val="005E2DC2"/>
    <w:rsid w:val="006037A3"/>
    <w:rsid w:val="006075B1"/>
    <w:rsid w:val="00613BA1"/>
    <w:rsid w:val="00622A19"/>
    <w:rsid w:val="00626D30"/>
    <w:rsid w:val="006303DA"/>
    <w:rsid w:val="006336FD"/>
    <w:rsid w:val="00634016"/>
    <w:rsid w:val="00671DFD"/>
    <w:rsid w:val="0068558D"/>
    <w:rsid w:val="006963EB"/>
    <w:rsid w:val="006970C2"/>
    <w:rsid w:val="006B18DC"/>
    <w:rsid w:val="006B1AF5"/>
    <w:rsid w:val="006C0E40"/>
    <w:rsid w:val="006D382B"/>
    <w:rsid w:val="0071262A"/>
    <w:rsid w:val="00716137"/>
    <w:rsid w:val="007332E3"/>
    <w:rsid w:val="007370D9"/>
    <w:rsid w:val="00750AE6"/>
    <w:rsid w:val="007528C4"/>
    <w:rsid w:val="00753E3B"/>
    <w:rsid w:val="00754B2B"/>
    <w:rsid w:val="007615EA"/>
    <w:rsid w:val="0076397E"/>
    <w:rsid w:val="0077271F"/>
    <w:rsid w:val="00786C1A"/>
    <w:rsid w:val="00791BC7"/>
    <w:rsid w:val="00796361"/>
    <w:rsid w:val="007A39F6"/>
    <w:rsid w:val="007F7DC8"/>
    <w:rsid w:val="00803AEE"/>
    <w:rsid w:val="0080563B"/>
    <w:rsid w:val="00811DD6"/>
    <w:rsid w:val="00824FE2"/>
    <w:rsid w:val="00831123"/>
    <w:rsid w:val="008921F7"/>
    <w:rsid w:val="008925D1"/>
    <w:rsid w:val="008A2C6E"/>
    <w:rsid w:val="008C2064"/>
    <w:rsid w:val="008C7849"/>
    <w:rsid w:val="008D7561"/>
    <w:rsid w:val="008E73F7"/>
    <w:rsid w:val="008F191E"/>
    <w:rsid w:val="008F690F"/>
    <w:rsid w:val="00903893"/>
    <w:rsid w:val="00911ABD"/>
    <w:rsid w:val="00914A92"/>
    <w:rsid w:val="0092417F"/>
    <w:rsid w:val="00937CB3"/>
    <w:rsid w:val="00937D01"/>
    <w:rsid w:val="0094010F"/>
    <w:rsid w:val="0094012F"/>
    <w:rsid w:val="009617E7"/>
    <w:rsid w:val="00964298"/>
    <w:rsid w:val="00964B58"/>
    <w:rsid w:val="00973FE5"/>
    <w:rsid w:val="00974D38"/>
    <w:rsid w:val="00977E91"/>
    <w:rsid w:val="00985AD7"/>
    <w:rsid w:val="00993137"/>
    <w:rsid w:val="00993F39"/>
    <w:rsid w:val="00994B20"/>
    <w:rsid w:val="009A0F95"/>
    <w:rsid w:val="009B5EE4"/>
    <w:rsid w:val="009C19DF"/>
    <w:rsid w:val="009D03C0"/>
    <w:rsid w:val="009E1A8A"/>
    <w:rsid w:val="009F793D"/>
    <w:rsid w:val="00A007B1"/>
    <w:rsid w:val="00A12A3F"/>
    <w:rsid w:val="00A21CFA"/>
    <w:rsid w:val="00A31181"/>
    <w:rsid w:val="00A47D80"/>
    <w:rsid w:val="00A5652D"/>
    <w:rsid w:val="00A66C3F"/>
    <w:rsid w:val="00A81606"/>
    <w:rsid w:val="00A83AAC"/>
    <w:rsid w:val="00A900AE"/>
    <w:rsid w:val="00A9790F"/>
    <w:rsid w:val="00AA0ED6"/>
    <w:rsid w:val="00AA144D"/>
    <w:rsid w:val="00AA3F12"/>
    <w:rsid w:val="00AB3C8B"/>
    <w:rsid w:val="00AE05DA"/>
    <w:rsid w:val="00AE2B87"/>
    <w:rsid w:val="00AE2CAB"/>
    <w:rsid w:val="00AF35A6"/>
    <w:rsid w:val="00AF4D5B"/>
    <w:rsid w:val="00B076C7"/>
    <w:rsid w:val="00B17BAA"/>
    <w:rsid w:val="00B27287"/>
    <w:rsid w:val="00B547B1"/>
    <w:rsid w:val="00B56FDA"/>
    <w:rsid w:val="00B94B36"/>
    <w:rsid w:val="00B977CD"/>
    <w:rsid w:val="00BA3A5E"/>
    <w:rsid w:val="00BA47C6"/>
    <w:rsid w:val="00BC1384"/>
    <w:rsid w:val="00BD0C05"/>
    <w:rsid w:val="00BE5F67"/>
    <w:rsid w:val="00BE6365"/>
    <w:rsid w:val="00BF0CD2"/>
    <w:rsid w:val="00C04EBD"/>
    <w:rsid w:val="00C15502"/>
    <w:rsid w:val="00C25901"/>
    <w:rsid w:val="00C25E7D"/>
    <w:rsid w:val="00C3182C"/>
    <w:rsid w:val="00C34AFC"/>
    <w:rsid w:val="00C35F8E"/>
    <w:rsid w:val="00C37ABF"/>
    <w:rsid w:val="00C403B8"/>
    <w:rsid w:val="00C500A1"/>
    <w:rsid w:val="00C74389"/>
    <w:rsid w:val="00C82FC5"/>
    <w:rsid w:val="00C87E0C"/>
    <w:rsid w:val="00C87F43"/>
    <w:rsid w:val="00C9206E"/>
    <w:rsid w:val="00CB4270"/>
    <w:rsid w:val="00CB494B"/>
    <w:rsid w:val="00CB53F5"/>
    <w:rsid w:val="00CC7B56"/>
    <w:rsid w:val="00CE3C83"/>
    <w:rsid w:val="00CF085C"/>
    <w:rsid w:val="00CF634A"/>
    <w:rsid w:val="00D03A4D"/>
    <w:rsid w:val="00D074B6"/>
    <w:rsid w:val="00D12999"/>
    <w:rsid w:val="00D25844"/>
    <w:rsid w:val="00D27F6C"/>
    <w:rsid w:val="00D40A5D"/>
    <w:rsid w:val="00D4796A"/>
    <w:rsid w:val="00D57F2E"/>
    <w:rsid w:val="00D911F8"/>
    <w:rsid w:val="00DA226F"/>
    <w:rsid w:val="00DA5C65"/>
    <w:rsid w:val="00DB0E7E"/>
    <w:rsid w:val="00DB245A"/>
    <w:rsid w:val="00DB606C"/>
    <w:rsid w:val="00DC160C"/>
    <w:rsid w:val="00DD13F5"/>
    <w:rsid w:val="00DD3A21"/>
    <w:rsid w:val="00DF03AB"/>
    <w:rsid w:val="00DF33FB"/>
    <w:rsid w:val="00E27EEA"/>
    <w:rsid w:val="00E35851"/>
    <w:rsid w:val="00E50F63"/>
    <w:rsid w:val="00E51B37"/>
    <w:rsid w:val="00E87216"/>
    <w:rsid w:val="00E91AAA"/>
    <w:rsid w:val="00EA17B2"/>
    <w:rsid w:val="00EA33F2"/>
    <w:rsid w:val="00EB691B"/>
    <w:rsid w:val="00EC6A58"/>
    <w:rsid w:val="00ED345A"/>
    <w:rsid w:val="00ED4224"/>
    <w:rsid w:val="00EE0C0C"/>
    <w:rsid w:val="00F10446"/>
    <w:rsid w:val="00F567FA"/>
    <w:rsid w:val="00F6784F"/>
    <w:rsid w:val="00F723E6"/>
    <w:rsid w:val="00F8124D"/>
    <w:rsid w:val="00F876AB"/>
    <w:rsid w:val="00F96301"/>
    <w:rsid w:val="00FA0CCC"/>
    <w:rsid w:val="00FB455E"/>
    <w:rsid w:val="00FD2E7B"/>
    <w:rsid w:val="00FE0343"/>
    <w:rsid w:val="00FE2564"/>
    <w:rsid w:val="00FE3986"/>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77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C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5502"/>
    <w:rPr>
      <w:color w:val="0563C1" w:themeColor="hyperlink"/>
      <w:u w:val="single"/>
    </w:rPr>
  </w:style>
  <w:style w:type="paragraph" w:styleId="FootnoteText">
    <w:name w:val="footnote text"/>
    <w:basedOn w:val="Normal"/>
    <w:link w:val="FootnoteTextChar"/>
    <w:uiPriority w:val="99"/>
    <w:unhideWhenUsed/>
    <w:rsid w:val="000556D4"/>
    <w:pPr>
      <w:spacing w:after="0" w:line="240" w:lineRule="auto"/>
    </w:pPr>
    <w:rPr>
      <w:sz w:val="20"/>
      <w:szCs w:val="20"/>
    </w:rPr>
  </w:style>
  <w:style w:type="character" w:customStyle="1" w:styleId="FootnoteTextChar">
    <w:name w:val="Footnote Text Char"/>
    <w:basedOn w:val="DefaultParagraphFont"/>
    <w:link w:val="FootnoteText"/>
    <w:uiPriority w:val="99"/>
    <w:rsid w:val="000556D4"/>
    <w:rPr>
      <w:sz w:val="20"/>
      <w:szCs w:val="20"/>
    </w:rPr>
  </w:style>
  <w:style w:type="character" w:styleId="FootnoteReference">
    <w:name w:val="footnote reference"/>
    <w:aliases w:val="Footnotes refss,Texto de nota al pie,Ref,de nota al pie,normal,Appel note de bas de page,Footnote number,referencia nota al pie,BVI fnr,f,fr,rodap» Char Char,4_G,16 Point,Superscript 6 Point,Texto nota al pie,Ref. de nota al pie 2"/>
    <w:uiPriority w:val="99"/>
    <w:unhideWhenUsed/>
    <w:rsid w:val="000556D4"/>
    <w:rPr>
      <w:vertAlign w:val="superscript"/>
    </w:rPr>
  </w:style>
  <w:style w:type="paragraph" w:styleId="ListParagraph">
    <w:name w:val="List Paragraph"/>
    <w:basedOn w:val="Normal"/>
    <w:uiPriority w:val="34"/>
    <w:qFormat/>
    <w:rsid w:val="000556D4"/>
    <w:pPr>
      <w:ind w:left="720"/>
      <w:contextualSpacing/>
    </w:pPr>
  </w:style>
  <w:style w:type="paragraph" w:styleId="Header">
    <w:name w:val="header"/>
    <w:basedOn w:val="Normal"/>
    <w:link w:val="HeaderChar"/>
    <w:uiPriority w:val="99"/>
    <w:unhideWhenUsed/>
    <w:rsid w:val="004470C6"/>
    <w:pPr>
      <w:tabs>
        <w:tab w:val="center" w:pos="4419"/>
        <w:tab w:val="right" w:pos="8838"/>
      </w:tabs>
      <w:spacing w:after="0" w:line="240" w:lineRule="auto"/>
    </w:pPr>
  </w:style>
  <w:style w:type="character" w:customStyle="1" w:styleId="HeaderChar">
    <w:name w:val="Header Char"/>
    <w:basedOn w:val="DefaultParagraphFont"/>
    <w:link w:val="Header"/>
    <w:uiPriority w:val="99"/>
    <w:rsid w:val="004470C6"/>
  </w:style>
  <w:style w:type="paragraph" w:styleId="Footer">
    <w:name w:val="footer"/>
    <w:basedOn w:val="Normal"/>
    <w:link w:val="FooterChar"/>
    <w:uiPriority w:val="99"/>
    <w:unhideWhenUsed/>
    <w:rsid w:val="004470C6"/>
    <w:pPr>
      <w:tabs>
        <w:tab w:val="center" w:pos="4419"/>
        <w:tab w:val="right" w:pos="8838"/>
      </w:tabs>
      <w:spacing w:after="0" w:line="240" w:lineRule="auto"/>
    </w:pPr>
  </w:style>
  <w:style w:type="character" w:customStyle="1" w:styleId="FooterChar">
    <w:name w:val="Footer Char"/>
    <w:basedOn w:val="DefaultParagraphFont"/>
    <w:link w:val="Footer"/>
    <w:uiPriority w:val="99"/>
    <w:rsid w:val="004470C6"/>
  </w:style>
  <w:style w:type="paragraph" w:styleId="BalloonText">
    <w:name w:val="Balloon Text"/>
    <w:basedOn w:val="Normal"/>
    <w:link w:val="BalloonTextChar"/>
    <w:uiPriority w:val="99"/>
    <w:semiHidden/>
    <w:unhideWhenUsed/>
    <w:rsid w:val="00F96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30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A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le.vcl@hotmail.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91E6A-FD2F-2E43-8400-BD6C6B6A8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3939</Words>
  <Characters>22458</Characters>
  <Application>Microsoft Macintosh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Alexia Campos</dc:creator>
  <cp:keywords/>
  <dc:description/>
  <cp:lastModifiedBy>María Belén Pepe</cp:lastModifiedBy>
  <cp:revision>4</cp:revision>
  <dcterms:created xsi:type="dcterms:W3CDTF">2016-11-07T03:11:00Z</dcterms:created>
  <dcterms:modified xsi:type="dcterms:W3CDTF">2018-02-28T21:45:00Z</dcterms:modified>
</cp:coreProperties>
</file>