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D0DE3" w14:textId="77777777" w:rsidR="00813CCB" w:rsidRPr="00AD351B" w:rsidRDefault="00813CCB" w:rsidP="00C20901">
      <w:pPr>
        <w:spacing w:line="360" w:lineRule="auto"/>
        <w:jc w:val="both"/>
        <w:rPr>
          <w:rFonts w:ascii="Times New Roman" w:hAnsi="Times New Roman" w:cs="Times New Roman"/>
          <w:b/>
          <w:sz w:val="24"/>
          <w:szCs w:val="24"/>
        </w:rPr>
      </w:pPr>
      <w:r>
        <w:rPr>
          <w:rFonts w:ascii="Times New Roman" w:hAnsi="Times New Roman" w:cs="Times New Roman"/>
          <w:b/>
          <w:sz w:val="24"/>
          <w:szCs w:val="24"/>
        </w:rPr>
        <w:t>B</w:t>
      </w:r>
      <w:r w:rsidRPr="00AD351B">
        <w:rPr>
          <w:rFonts w:ascii="Times New Roman" w:hAnsi="Times New Roman" w:cs="Times New Roman"/>
          <w:b/>
          <w:sz w:val="24"/>
          <w:szCs w:val="24"/>
        </w:rPr>
        <w:t>osques sa</w:t>
      </w:r>
      <w:bookmarkStart w:id="0" w:name="_GoBack"/>
      <w:bookmarkEnd w:id="0"/>
      <w:r w:rsidRPr="00AD351B">
        <w:rPr>
          <w:rFonts w:ascii="Times New Roman" w:hAnsi="Times New Roman" w:cs="Times New Roman"/>
          <w:b/>
          <w:sz w:val="24"/>
          <w:szCs w:val="24"/>
        </w:rPr>
        <w:t>lteños</w:t>
      </w:r>
      <w:r>
        <w:rPr>
          <w:rFonts w:ascii="Times New Roman" w:hAnsi="Times New Roman" w:cs="Times New Roman"/>
          <w:b/>
          <w:sz w:val="24"/>
          <w:szCs w:val="24"/>
        </w:rPr>
        <w:t xml:space="preserve"> y servicios ambientales</w:t>
      </w:r>
      <w:r w:rsidRPr="00AD351B">
        <w:rPr>
          <w:rFonts w:ascii="Times New Roman" w:hAnsi="Times New Roman" w:cs="Times New Roman"/>
          <w:b/>
          <w:sz w:val="24"/>
          <w:szCs w:val="24"/>
        </w:rPr>
        <w:t xml:space="preserve">: </w:t>
      </w:r>
      <w:r w:rsidRPr="00AD351B">
        <w:rPr>
          <w:rFonts w:ascii="Times New Roman" w:eastAsia="Times New Roman" w:hAnsi="Times New Roman" w:cs="Times New Roman"/>
          <w:b/>
          <w:bCs/>
          <w:sz w:val="24"/>
          <w:szCs w:val="24"/>
          <w:lang w:eastAsia="es-ES"/>
        </w:rPr>
        <w:t>entre derechos individuales, colectivos y difusos. Etnografía de una causa judicial.</w:t>
      </w:r>
    </w:p>
    <w:p w14:paraId="3E9AB8DF" w14:textId="77777777" w:rsidR="00813CCB" w:rsidRPr="00AD351B" w:rsidRDefault="00813CCB" w:rsidP="00C20901">
      <w:pPr>
        <w:spacing w:line="360" w:lineRule="auto"/>
        <w:jc w:val="right"/>
        <w:rPr>
          <w:rFonts w:ascii="Times New Roman" w:hAnsi="Times New Roman" w:cs="Times New Roman"/>
          <w:b/>
          <w:sz w:val="24"/>
          <w:szCs w:val="24"/>
        </w:rPr>
      </w:pPr>
      <w:r w:rsidRPr="00AD351B">
        <w:rPr>
          <w:rFonts w:ascii="Times New Roman" w:hAnsi="Times New Roman" w:cs="Times New Roman"/>
          <w:b/>
          <w:sz w:val="24"/>
          <w:szCs w:val="24"/>
        </w:rPr>
        <w:t>Constanza Casalderrey</w:t>
      </w:r>
      <w:r w:rsidRPr="00AD351B">
        <w:rPr>
          <w:rFonts w:ascii="Times New Roman" w:hAnsi="Times New Roman" w:cs="Times New Roman"/>
          <w:b/>
          <w:sz w:val="24"/>
          <w:szCs w:val="24"/>
          <w:vertAlign w:val="superscript"/>
        </w:rPr>
        <w:footnoteReference w:customMarkFollows="1" w:id="1"/>
        <w:sym w:font="Symbol" w:char="F0B7"/>
      </w:r>
    </w:p>
    <w:p w14:paraId="50B32325" w14:textId="77777777" w:rsidR="00813CCB" w:rsidRPr="00AD351B" w:rsidRDefault="00813CCB" w:rsidP="00C20901">
      <w:pPr>
        <w:spacing w:line="360" w:lineRule="auto"/>
        <w:jc w:val="both"/>
        <w:rPr>
          <w:rFonts w:ascii="Times New Roman" w:hAnsi="Times New Roman" w:cs="Times New Roman"/>
          <w:sz w:val="24"/>
          <w:szCs w:val="24"/>
        </w:rPr>
      </w:pPr>
    </w:p>
    <w:p w14:paraId="03581E02" w14:textId="77777777" w:rsidR="00813CCB" w:rsidRPr="00AD351B" w:rsidRDefault="00813CCB" w:rsidP="00C20901">
      <w:pPr>
        <w:spacing w:line="360" w:lineRule="auto"/>
        <w:jc w:val="both"/>
        <w:rPr>
          <w:rFonts w:ascii="Times New Roman" w:eastAsia="Calibri" w:hAnsi="Times New Roman" w:cs="Times New Roman"/>
          <w:sz w:val="24"/>
          <w:szCs w:val="24"/>
        </w:rPr>
      </w:pPr>
      <w:r w:rsidRPr="00AD351B">
        <w:rPr>
          <w:rFonts w:ascii="Times New Roman" w:hAnsi="Times New Roman" w:cs="Times New Roman"/>
          <w:sz w:val="24"/>
          <w:szCs w:val="24"/>
        </w:rPr>
        <w:t>Esta ponencia tiene una doble finalidad. Por un lado, compartir los resultados de mi tesis de licenciatura, para la cual analicé el proceso de construcción de los bosques nativos en tanto objeto de interés general de la nación</w:t>
      </w:r>
      <w:r w:rsidRPr="00AD351B">
        <w:rPr>
          <w:rFonts w:ascii="Times New Roman" w:hAnsi="Times New Roman" w:cs="Times New Roman"/>
          <w:i/>
          <w:sz w:val="24"/>
          <w:szCs w:val="24"/>
        </w:rPr>
        <w:t xml:space="preserve"> </w:t>
      </w:r>
      <w:r w:rsidRPr="00AD351B">
        <w:rPr>
          <w:rFonts w:ascii="Times New Roman" w:hAnsi="Times New Roman" w:cs="Times New Roman"/>
          <w:sz w:val="24"/>
          <w:szCs w:val="24"/>
        </w:rPr>
        <w:t xml:space="preserve">a partir de la etnografía de una causa judicial que enfrentó  a comunidades indígenas y criollas del norte de la provincia de Salta con sectores del gobierno provincial y nacional por el aumento exponencial del desmonte previo a la sanción de la Ley 26331 (Ley de Bosques). </w:t>
      </w:r>
      <w:r w:rsidRPr="00AD351B">
        <w:rPr>
          <w:rFonts w:ascii="Times New Roman" w:eastAsia="Calibri" w:hAnsi="Times New Roman" w:cs="Times New Roman"/>
          <w:sz w:val="24"/>
          <w:szCs w:val="24"/>
          <w:lang w:val="es-ES"/>
        </w:rPr>
        <w:t xml:space="preserve">Sostengo que a través del concepto de ‘servicios ambientales’, tal cual es definido en </w:t>
      </w:r>
      <w:r>
        <w:rPr>
          <w:rFonts w:ascii="Times New Roman" w:eastAsia="Calibri" w:hAnsi="Times New Roman" w:cs="Times New Roman"/>
          <w:sz w:val="24"/>
          <w:szCs w:val="24"/>
          <w:lang w:val="es-ES"/>
        </w:rPr>
        <w:t>dicha</w:t>
      </w:r>
      <w:r w:rsidRPr="00AD351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ley</w:t>
      </w:r>
      <w:r w:rsidRPr="00AD351B">
        <w:rPr>
          <w:rFonts w:ascii="Times New Roman" w:eastAsia="Calibri" w:hAnsi="Times New Roman" w:cs="Times New Roman"/>
          <w:sz w:val="24"/>
          <w:szCs w:val="24"/>
          <w:lang w:val="es-ES"/>
        </w:rPr>
        <w:t xml:space="preserve">, se asocia a los bosques nativos con una concepción de ‘interés difuso’, un interés compartido por todos los miembros de la comunidad nacional. Sin embargo, </w:t>
      </w:r>
      <w:r>
        <w:rPr>
          <w:rFonts w:ascii="Times New Roman" w:eastAsia="Calibri" w:hAnsi="Times New Roman" w:cs="Times New Roman"/>
          <w:sz w:val="24"/>
          <w:szCs w:val="24"/>
          <w:lang w:val="es-ES"/>
        </w:rPr>
        <w:t xml:space="preserve">el </w:t>
      </w:r>
      <w:r w:rsidRPr="00AD351B">
        <w:rPr>
          <w:rFonts w:ascii="Times New Roman" w:eastAsia="Calibri" w:hAnsi="Times New Roman" w:cs="Times New Roman"/>
          <w:sz w:val="24"/>
          <w:szCs w:val="24"/>
          <w:lang w:val="es-ES"/>
        </w:rPr>
        <w:t>caso ‘Salas’</w:t>
      </w:r>
      <w:r>
        <w:rPr>
          <w:rFonts w:ascii="Times New Roman" w:eastAsia="Calibri" w:hAnsi="Times New Roman" w:cs="Times New Roman"/>
          <w:sz w:val="24"/>
          <w:szCs w:val="24"/>
          <w:lang w:val="es-ES"/>
        </w:rPr>
        <w:t xml:space="preserve"> también manifiesta </w:t>
      </w:r>
      <w:r w:rsidRPr="00AD351B">
        <w:rPr>
          <w:rFonts w:ascii="Times New Roman" w:eastAsia="Calibri" w:hAnsi="Times New Roman" w:cs="Times New Roman"/>
          <w:sz w:val="24"/>
          <w:szCs w:val="24"/>
          <w:lang w:val="es-ES"/>
        </w:rPr>
        <w:t xml:space="preserve">que el </w:t>
      </w:r>
      <w:r w:rsidRPr="00AD351B">
        <w:rPr>
          <w:rFonts w:ascii="Times New Roman" w:eastAsia="Calibri" w:hAnsi="Times New Roman" w:cs="Times New Roman"/>
          <w:sz w:val="24"/>
          <w:szCs w:val="24"/>
        </w:rPr>
        <w:t xml:space="preserve">sentido de ‘utilidad’ del bosque nativo en tanto proveedor de servicios ambientales es objeto de disputa. </w:t>
      </w:r>
    </w:p>
    <w:p w14:paraId="6683E4DA" w14:textId="77777777" w:rsidR="00813CCB" w:rsidRPr="00AD351B" w:rsidRDefault="00813CCB" w:rsidP="00C20901">
      <w:pPr>
        <w:spacing w:line="360" w:lineRule="auto"/>
        <w:jc w:val="both"/>
        <w:rPr>
          <w:rFonts w:ascii="Times New Roman" w:hAnsi="Times New Roman" w:cs="Times New Roman"/>
          <w:sz w:val="24"/>
          <w:szCs w:val="24"/>
        </w:rPr>
      </w:pPr>
      <w:r w:rsidRPr="00AD351B">
        <w:rPr>
          <w:rFonts w:ascii="Times New Roman" w:hAnsi="Times New Roman" w:cs="Times New Roman"/>
          <w:sz w:val="24"/>
          <w:szCs w:val="24"/>
        </w:rPr>
        <w:t xml:space="preserve">Por otro lado, busco comunicar mis reflexiones sobre el proceso de investigación y la estrategia teórico-metodológica utilizada, a fin de discutir los alcances y los límites que supone ‘etnografiar’ causas judiciales cuando el objetivo es analizar procesos de legitimación de políticas públicas. </w:t>
      </w:r>
    </w:p>
    <w:p w14:paraId="6CEF6CE3" w14:textId="77777777" w:rsidR="00EA2FDC" w:rsidRDefault="00813CCB" w:rsidP="00C20901">
      <w:pPr>
        <w:spacing w:line="360" w:lineRule="auto"/>
        <w:jc w:val="both"/>
        <w:rPr>
          <w:rFonts w:ascii="Times New Roman" w:hAnsi="Times New Roman" w:cs="Times New Roman"/>
          <w:sz w:val="24"/>
          <w:szCs w:val="24"/>
        </w:rPr>
      </w:pPr>
      <w:r w:rsidRPr="00AD351B">
        <w:rPr>
          <w:rFonts w:ascii="Times New Roman" w:hAnsi="Times New Roman" w:cs="Times New Roman"/>
          <w:b/>
          <w:sz w:val="24"/>
          <w:szCs w:val="24"/>
        </w:rPr>
        <w:t>Palabras claves</w:t>
      </w:r>
      <w:r w:rsidRPr="00AD351B">
        <w:rPr>
          <w:rFonts w:ascii="Times New Roman" w:hAnsi="Times New Roman" w:cs="Times New Roman"/>
          <w:sz w:val="24"/>
          <w:szCs w:val="24"/>
        </w:rPr>
        <w:t>: gubernamentalidad, veridicción, servicios ambientales, interés común.</w:t>
      </w:r>
    </w:p>
    <w:p w14:paraId="38313DAC" w14:textId="77777777" w:rsidR="00813CCB" w:rsidRPr="00CE22BF" w:rsidRDefault="00813CCB" w:rsidP="00C20901">
      <w:pPr>
        <w:spacing w:line="360" w:lineRule="auto"/>
        <w:jc w:val="both"/>
        <w:rPr>
          <w:rFonts w:ascii="Times New Roman" w:hAnsi="Times New Roman" w:cs="Times New Roman"/>
          <w:b/>
          <w:sz w:val="24"/>
          <w:szCs w:val="24"/>
        </w:rPr>
      </w:pPr>
      <w:r w:rsidRPr="00CE22BF">
        <w:rPr>
          <w:rFonts w:ascii="Times New Roman" w:hAnsi="Times New Roman" w:cs="Times New Roman"/>
          <w:b/>
          <w:sz w:val="24"/>
          <w:szCs w:val="24"/>
        </w:rPr>
        <w:t>Introducción</w:t>
      </w:r>
    </w:p>
    <w:p w14:paraId="5417B70A" w14:textId="77777777" w:rsidR="0062055C" w:rsidRDefault="00936592" w:rsidP="00C209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investigación para mi tesis de licenciatura tuvo como objetivo inicial </w:t>
      </w:r>
      <w:r w:rsidRPr="006D1B8F">
        <w:rPr>
          <w:rFonts w:ascii="Times New Roman" w:hAnsi="Times New Roman" w:cs="Times New Roman"/>
          <w:sz w:val="24"/>
          <w:szCs w:val="24"/>
          <w:lang w:val="es-ES"/>
        </w:rPr>
        <w:t>analizar cómo el Estado administra el ‘recurso’ bosque nativo; a partir de qué mecanismos, de qué discursos y herramientas burocráticas logra legitimar determinadas prácticas gubernamentales.</w:t>
      </w:r>
      <w:r w:rsidR="005F07F4">
        <w:rPr>
          <w:rFonts w:ascii="Times New Roman" w:hAnsi="Times New Roman" w:cs="Times New Roman"/>
          <w:sz w:val="24"/>
          <w:szCs w:val="24"/>
          <w:lang w:val="es-ES"/>
        </w:rPr>
        <w:t xml:space="preserve"> Esto me presentó con </w:t>
      </w:r>
      <w:r w:rsidR="0062055C" w:rsidRPr="006D1B8F">
        <w:rPr>
          <w:rFonts w:ascii="Times New Roman" w:hAnsi="Times New Roman" w:cs="Times New Roman"/>
          <w:sz w:val="24"/>
          <w:szCs w:val="24"/>
        </w:rPr>
        <w:t xml:space="preserve">el desafío de ‘problematizar’ el Estado: ¿qué es el Estado? ¿Cuán efectivo es su dominio sobre los sujetos que gobierna? ¿Cómo se legitima? ¿Para qué (o incluso </w:t>
      </w:r>
      <w:r w:rsidR="0062055C" w:rsidRPr="006D1B8F">
        <w:rPr>
          <w:rFonts w:ascii="Times New Roman" w:hAnsi="Times New Roman" w:cs="Times New Roman"/>
          <w:sz w:val="24"/>
          <w:szCs w:val="24"/>
        </w:rPr>
        <w:lastRenderedPageBreak/>
        <w:t>para quiénes) gobierna? ¿Cuál es la finalidad del Estado y cuáles son sus medios? Inmediatamente, a raíz de estas problematizaciones, me empecé a preguntar, ¿cómo puedo pensar el Estado? ¿Cómo puedo estudiarlo? ¿Dónde puedo observar la gubernamentalidad (Foucault 2007ª)</w:t>
      </w:r>
      <w:r w:rsidR="0062055C" w:rsidRPr="006D1B8F">
        <w:rPr>
          <w:rStyle w:val="FootnoteReference"/>
          <w:rFonts w:ascii="Times New Roman" w:hAnsi="Times New Roman" w:cs="Times New Roman"/>
          <w:sz w:val="24"/>
          <w:szCs w:val="24"/>
        </w:rPr>
        <w:footnoteReference w:id="2"/>
      </w:r>
      <w:r w:rsidR="0062055C" w:rsidRPr="006D1B8F">
        <w:rPr>
          <w:rFonts w:ascii="Times New Roman" w:hAnsi="Times New Roman" w:cs="Times New Roman"/>
          <w:sz w:val="24"/>
          <w:szCs w:val="24"/>
        </w:rPr>
        <w:t xml:space="preserve">? </w:t>
      </w:r>
    </w:p>
    <w:p w14:paraId="2CD5E662" w14:textId="77777777" w:rsidR="00D97AB9" w:rsidRDefault="00D44121" w:rsidP="00C20901">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rPr>
        <w:t>E</w:t>
      </w:r>
      <w:r w:rsidR="0062055C">
        <w:rPr>
          <w:rFonts w:ascii="Times New Roman" w:hAnsi="Times New Roman" w:cs="Times New Roman"/>
          <w:sz w:val="24"/>
          <w:szCs w:val="24"/>
        </w:rPr>
        <w:t>ntiendo</w:t>
      </w:r>
      <w:r w:rsidR="0062055C" w:rsidRPr="006D1B8F">
        <w:rPr>
          <w:rFonts w:ascii="Times New Roman" w:hAnsi="Times New Roman" w:cs="Times New Roman"/>
          <w:sz w:val="24"/>
          <w:szCs w:val="24"/>
        </w:rPr>
        <w:t xml:space="preserve"> que “en los estudios sobre la gubernamentalidad el lenguaje es el principal material de análisis (…) no por lo que pueda decir o comunicar, sino por lo que hace, por las cosas que pone en relación y por el tipo de relaciones que establece entre ellas” (Gil Araujo 2010: 63). </w:t>
      </w:r>
      <w:r w:rsidR="0062055C">
        <w:rPr>
          <w:rFonts w:ascii="Times New Roman" w:hAnsi="Times New Roman" w:cs="Times New Roman"/>
          <w:sz w:val="24"/>
          <w:szCs w:val="24"/>
        </w:rPr>
        <w:t>Así</w:t>
      </w:r>
      <w:r w:rsidR="0062055C" w:rsidRPr="006D1B8F">
        <w:rPr>
          <w:rFonts w:ascii="Times New Roman" w:hAnsi="Times New Roman" w:cs="Times New Roman"/>
          <w:sz w:val="24"/>
          <w:szCs w:val="24"/>
        </w:rPr>
        <w:t xml:space="preserve">, analizar el ‘mensaje’ que transmite el Estado </w:t>
      </w:r>
      <w:r w:rsidR="0062055C">
        <w:rPr>
          <w:rFonts w:ascii="Times New Roman" w:hAnsi="Times New Roman" w:cs="Times New Roman"/>
          <w:sz w:val="24"/>
          <w:szCs w:val="24"/>
        </w:rPr>
        <w:t xml:space="preserve">constituye </w:t>
      </w:r>
      <w:r w:rsidR="0062055C" w:rsidRPr="006D1B8F">
        <w:rPr>
          <w:rFonts w:ascii="Times New Roman" w:hAnsi="Times New Roman" w:cs="Times New Roman"/>
          <w:sz w:val="24"/>
          <w:szCs w:val="24"/>
        </w:rPr>
        <w:t>una manera válida de entender cómo legitima la nueva política ambiental en lo referente a bosques nativos.</w:t>
      </w:r>
      <w:r w:rsidR="005F07F4">
        <w:rPr>
          <w:rFonts w:ascii="Times New Roman" w:hAnsi="Times New Roman" w:cs="Times New Roman"/>
          <w:sz w:val="24"/>
          <w:szCs w:val="24"/>
          <w:lang w:val="es-ES"/>
        </w:rPr>
        <w:t xml:space="preserve"> </w:t>
      </w:r>
      <w:r w:rsidR="00936592">
        <w:rPr>
          <w:rFonts w:ascii="Times New Roman" w:hAnsi="Times New Roman" w:cs="Times New Roman"/>
          <w:sz w:val="24"/>
          <w:szCs w:val="24"/>
          <w:lang w:val="es-ES"/>
        </w:rPr>
        <w:t xml:space="preserve">Al entender que el Estado </w:t>
      </w:r>
      <w:r w:rsidR="00936592" w:rsidRPr="006D1B8F">
        <w:rPr>
          <w:rFonts w:ascii="Times New Roman" w:hAnsi="Times New Roman" w:cs="Times New Roman"/>
          <w:sz w:val="24"/>
          <w:szCs w:val="24"/>
          <w:lang w:val="es-ES"/>
        </w:rPr>
        <w:t>se ‘materializa’ e</w:t>
      </w:r>
      <w:r w:rsidR="0062055C">
        <w:rPr>
          <w:rFonts w:ascii="Times New Roman" w:hAnsi="Times New Roman" w:cs="Times New Roman"/>
          <w:sz w:val="24"/>
          <w:szCs w:val="24"/>
          <w:lang w:val="es-ES"/>
        </w:rPr>
        <w:t xml:space="preserve">n ‘rituales burocráticos’ </w:t>
      </w:r>
      <w:r w:rsidR="0062055C" w:rsidRPr="00E65720">
        <w:rPr>
          <w:rFonts w:ascii="Times New Roman" w:hAnsi="Times New Roman" w:cs="Times New Roman"/>
          <w:sz w:val="24"/>
          <w:szCs w:val="24"/>
          <w:lang w:val="es-ES"/>
        </w:rPr>
        <w:t>(Corrigan y Sayer 2007)</w:t>
      </w:r>
      <w:r w:rsidR="0062055C">
        <w:rPr>
          <w:rFonts w:ascii="Times New Roman" w:hAnsi="Times New Roman" w:cs="Times New Roman"/>
          <w:sz w:val="24"/>
          <w:szCs w:val="24"/>
          <w:lang w:val="es-ES"/>
        </w:rPr>
        <w:t xml:space="preserve">, cobra </w:t>
      </w:r>
      <w:r w:rsidR="00936592" w:rsidRPr="006D1B8F">
        <w:rPr>
          <w:rFonts w:ascii="Times New Roman" w:hAnsi="Times New Roman" w:cs="Times New Roman"/>
          <w:sz w:val="24"/>
          <w:szCs w:val="24"/>
          <w:lang w:val="es-ES"/>
        </w:rPr>
        <w:t xml:space="preserve">sentido partir del análisis del caso ‘Dino Salas y otros’, ya que el ‘caso’ en sí </w:t>
      </w:r>
      <w:r w:rsidR="00FA1C8B">
        <w:rPr>
          <w:rFonts w:ascii="Times New Roman" w:hAnsi="Times New Roman" w:cs="Times New Roman"/>
          <w:sz w:val="24"/>
          <w:szCs w:val="24"/>
          <w:lang w:val="es-ES"/>
        </w:rPr>
        <w:t xml:space="preserve">constituye </w:t>
      </w:r>
      <w:r w:rsidR="00936592" w:rsidRPr="006D1B8F">
        <w:rPr>
          <w:rFonts w:ascii="Times New Roman" w:hAnsi="Times New Roman" w:cs="Times New Roman"/>
          <w:sz w:val="24"/>
          <w:szCs w:val="24"/>
          <w:lang w:val="es-ES"/>
        </w:rPr>
        <w:t>un escenario en el que se vuelven observables varias de esas ‘rutinas’; distintos discursos y mecanismos burocráticos mediante los cuales el Estado legitima determinados usos sobre los bosques nativos a partir de la delimitación de la práctica gubernamental.</w:t>
      </w:r>
      <w:r w:rsidR="00936592">
        <w:rPr>
          <w:rFonts w:ascii="Times New Roman" w:hAnsi="Times New Roman" w:cs="Times New Roman"/>
          <w:sz w:val="24"/>
          <w:szCs w:val="24"/>
          <w:lang w:val="es-ES"/>
        </w:rPr>
        <w:t xml:space="preserve"> </w:t>
      </w:r>
    </w:p>
    <w:p w14:paraId="24F3F8B9" w14:textId="77777777" w:rsidR="0084162B" w:rsidRPr="007C3C8C" w:rsidRDefault="0084162B" w:rsidP="00C20901">
      <w:pPr>
        <w:spacing w:line="360" w:lineRule="auto"/>
        <w:jc w:val="both"/>
        <w:rPr>
          <w:rFonts w:ascii="Times New Roman" w:hAnsi="Times New Roman" w:cs="Times New Roman"/>
          <w:b/>
          <w:sz w:val="24"/>
          <w:szCs w:val="24"/>
          <w:lang w:val="es-ES"/>
        </w:rPr>
      </w:pPr>
      <w:r w:rsidRPr="007C3C8C">
        <w:rPr>
          <w:rFonts w:ascii="Times New Roman" w:hAnsi="Times New Roman" w:cs="Times New Roman"/>
          <w:b/>
          <w:sz w:val="24"/>
          <w:szCs w:val="24"/>
          <w:lang w:val="es-ES"/>
        </w:rPr>
        <w:t>Algunos puntos de partida teóricos</w:t>
      </w:r>
    </w:p>
    <w:p w14:paraId="3E9990BF" w14:textId="77777777" w:rsidR="00D97AB9" w:rsidRDefault="00D97AB9" w:rsidP="00C20901">
      <w:p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P</w:t>
      </w:r>
      <w:r w:rsidR="00FA1C8B">
        <w:rPr>
          <w:rFonts w:ascii="Times New Roman" w:hAnsi="Times New Roman" w:cs="Times New Roman"/>
          <w:sz w:val="24"/>
          <w:szCs w:val="24"/>
          <w:lang w:val="es-ES"/>
        </w:rPr>
        <w:t xml:space="preserve">ara que </w:t>
      </w:r>
      <w:r w:rsidR="00FA1C8B" w:rsidRPr="006D1B8F">
        <w:rPr>
          <w:rFonts w:ascii="Times New Roman" w:hAnsi="Times New Roman" w:cs="Times New Roman"/>
          <w:sz w:val="24"/>
          <w:szCs w:val="24"/>
          <w:lang w:val="es-ES"/>
        </w:rPr>
        <w:t>algo sea legítimo justamente no debe parecer impuesto. La legitimidad del Estado no puede obtenerse sólo por la vía del ejercicio de la violencia, si es que ha de tener cierta duración (Bourdieu 1996). Esa legitimidad es construida a partir de largos procesos históricos de construcción de los sujetos y de subjetividades que se reconozcan como ‘parte’ del Estado</w:t>
      </w:r>
      <w:r w:rsidR="00FA1C8B">
        <w:rPr>
          <w:rFonts w:ascii="Times New Roman" w:hAnsi="Times New Roman" w:cs="Times New Roman"/>
          <w:sz w:val="24"/>
          <w:szCs w:val="24"/>
          <w:lang w:val="es-ES"/>
        </w:rPr>
        <w:t xml:space="preserve">. </w:t>
      </w:r>
      <w:r w:rsidR="00FA1C8B" w:rsidRPr="006D1B8F">
        <w:rPr>
          <w:rFonts w:ascii="Times New Roman" w:eastAsia="Calibri" w:hAnsi="Times New Roman" w:cs="Times New Roman"/>
          <w:sz w:val="24"/>
          <w:szCs w:val="24"/>
          <w:lang w:val="es-ES"/>
        </w:rPr>
        <w:t>Así, la ‘idea de Estado’</w:t>
      </w:r>
      <w:r w:rsidR="00FA1C8B">
        <w:rPr>
          <w:rFonts w:ascii="Times New Roman" w:eastAsia="Calibri" w:hAnsi="Times New Roman" w:cs="Times New Roman"/>
          <w:sz w:val="24"/>
          <w:szCs w:val="24"/>
          <w:lang w:val="es-ES"/>
        </w:rPr>
        <w:t xml:space="preserve">, en tanto “interés común ilusorio” </w:t>
      </w:r>
      <w:r w:rsidR="00FA1C8B" w:rsidRPr="008C3DF9">
        <w:rPr>
          <w:rFonts w:ascii="Times New Roman" w:eastAsia="Calibri" w:hAnsi="Times New Roman" w:cs="Times New Roman"/>
          <w:sz w:val="24"/>
          <w:szCs w:val="24"/>
          <w:lang w:val="es-ES"/>
        </w:rPr>
        <w:t>(Abrams 1988</w:t>
      </w:r>
      <w:r w:rsidR="00FA1C8B">
        <w:rPr>
          <w:rFonts w:ascii="Times New Roman" w:eastAsia="Calibri" w:hAnsi="Times New Roman" w:cs="Times New Roman"/>
          <w:sz w:val="24"/>
          <w:szCs w:val="24"/>
          <w:lang w:val="es-ES"/>
        </w:rPr>
        <w:t>: 83</w:t>
      </w:r>
      <w:r w:rsidR="00FA1C8B" w:rsidRPr="008C3DF9">
        <w:rPr>
          <w:rFonts w:ascii="Times New Roman" w:eastAsia="Calibri" w:hAnsi="Times New Roman" w:cs="Times New Roman"/>
          <w:sz w:val="24"/>
          <w:szCs w:val="24"/>
          <w:lang w:val="es-ES"/>
        </w:rPr>
        <w:t>)</w:t>
      </w:r>
      <w:r w:rsidR="00FA1C8B">
        <w:rPr>
          <w:rStyle w:val="FootnoteReference"/>
          <w:rFonts w:ascii="Times New Roman" w:eastAsia="Calibri" w:hAnsi="Times New Roman" w:cs="Times New Roman"/>
          <w:sz w:val="24"/>
          <w:szCs w:val="24"/>
          <w:lang w:val="es-ES"/>
        </w:rPr>
        <w:footnoteReference w:id="3"/>
      </w:r>
      <w:r w:rsidR="00FA1C8B" w:rsidRPr="006D1B8F">
        <w:rPr>
          <w:rFonts w:ascii="Times New Roman" w:eastAsia="Calibri" w:hAnsi="Times New Roman" w:cs="Times New Roman"/>
          <w:sz w:val="24"/>
          <w:szCs w:val="24"/>
          <w:lang w:val="es-ES"/>
        </w:rPr>
        <w:t xml:space="preserve"> es un factor elemental para la construcción de su propia legitimidad. </w:t>
      </w:r>
      <w:r w:rsidR="00FA1C8B" w:rsidRPr="006D1B8F">
        <w:rPr>
          <w:rFonts w:ascii="Times New Roman" w:eastAsia="Calibri" w:hAnsi="Times New Roman" w:cs="Times New Roman"/>
          <w:sz w:val="24"/>
          <w:szCs w:val="24"/>
        </w:rPr>
        <w:t>Es la idea que subyace en el imaginario social de un ‘bien común’ un ‘interés compartido’</w:t>
      </w:r>
      <w:r w:rsidR="00FA1C8B">
        <w:rPr>
          <w:rFonts w:ascii="Times New Roman" w:eastAsia="Calibri" w:hAnsi="Times New Roman" w:cs="Times New Roman"/>
          <w:sz w:val="24"/>
          <w:szCs w:val="24"/>
        </w:rPr>
        <w:t xml:space="preserve">, que es construido </w:t>
      </w:r>
      <w:r w:rsidR="00FA1C8B" w:rsidRPr="006D1B8F">
        <w:rPr>
          <w:rFonts w:ascii="Times New Roman" w:eastAsia="Calibri" w:hAnsi="Times New Roman" w:cs="Times New Roman"/>
          <w:sz w:val="24"/>
          <w:szCs w:val="24"/>
        </w:rPr>
        <w:t xml:space="preserve">desde un orden moral o, si se prefiere, un ‘lenguaje de valoración’ específico. </w:t>
      </w:r>
      <w:r w:rsidR="00FA1C8B" w:rsidRPr="006D1B8F">
        <w:rPr>
          <w:rFonts w:ascii="Times New Roman" w:eastAsia="Calibri" w:hAnsi="Times New Roman" w:cs="Times New Roman"/>
          <w:sz w:val="24"/>
          <w:szCs w:val="24"/>
        </w:rPr>
        <w:lastRenderedPageBreak/>
        <w:t>En este punto la ‘ilusión de Estado’ se encuentra con la construcción de la ‘Nación’ en tanto “comunidad política i</w:t>
      </w:r>
      <w:r w:rsidR="00FA1C8B">
        <w:rPr>
          <w:rFonts w:ascii="Times New Roman" w:eastAsia="Calibri" w:hAnsi="Times New Roman" w:cs="Times New Roman"/>
          <w:sz w:val="24"/>
          <w:szCs w:val="24"/>
        </w:rPr>
        <w:t>maginada”</w:t>
      </w:r>
      <w:r>
        <w:rPr>
          <w:rFonts w:ascii="Times New Roman" w:eastAsia="Calibri" w:hAnsi="Times New Roman" w:cs="Times New Roman"/>
          <w:sz w:val="24"/>
          <w:szCs w:val="24"/>
        </w:rPr>
        <w:t xml:space="preserve"> (Anderson, 1993: 23). </w:t>
      </w:r>
      <w:r w:rsidRPr="00E65720">
        <w:rPr>
          <w:rFonts w:ascii="Times New Roman" w:hAnsi="Times New Roman" w:cs="Times New Roman"/>
          <w:sz w:val="24"/>
          <w:szCs w:val="24"/>
        </w:rPr>
        <w:t xml:space="preserve">La definición de intereses compartidos, de un bien común que sirva a la vez como fundamento y límite de la práctica gubernamental, es necesaria para la construcción de dicha comunidad. </w:t>
      </w:r>
      <w:r>
        <w:rPr>
          <w:rFonts w:ascii="Times New Roman" w:hAnsi="Times New Roman" w:cs="Times New Roman"/>
          <w:sz w:val="24"/>
          <w:szCs w:val="24"/>
        </w:rPr>
        <w:t>L</w:t>
      </w:r>
      <w:r w:rsidRPr="00E65720">
        <w:rPr>
          <w:rFonts w:ascii="Times New Roman" w:hAnsi="Times New Roman" w:cs="Times New Roman"/>
          <w:sz w:val="24"/>
          <w:szCs w:val="24"/>
        </w:rPr>
        <w:t>a construcción de ese ‘interés común’ implica un proceso de comunalización (Brow 1990): de construcción de un ‘nosotros’, miembros de una comunidad delimitada, a partir de la diferenciación de un ‘otro’, ajeno a la comunidad. En ese proceso operan mecanismos de exclusión y/o inclusión de los ‘otros’ en ese ‘nosotros’.</w:t>
      </w:r>
    </w:p>
    <w:p w14:paraId="2452CA6D" w14:textId="77777777" w:rsidR="0016623C" w:rsidRPr="0016623C" w:rsidRDefault="000E2841" w:rsidP="00C20901">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Si “</w:t>
      </w:r>
      <w:r w:rsidRPr="00E65720">
        <w:rPr>
          <w:rFonts w:ascii="Times New Roman" w:hAnsi="Times New Roman" w:cs="Times New Roman"/>
          <w:sz w:val="24"/>
          <w:szCs w:val="24"/>
          <w:lang w:val="es-ES"/>
        </w:rPr>
        <w:t>(…) el interés cuyo principio debe obedecer la razón gubernamental es interés en plural</w:t>
      </w:r>
      <w:r>
        <w:rPr>
          <w:rFonts w:ascii="Times New Roman" w:hAnsi="Times New Roman" w:cs="Times New Roman"/>
          <w:sz w:val="24"/>
          <w:szCs w:val="24"/>
          <w:lang w:val="es-ES"/>
        </w:rPr>
        <w:t xml:space="preserve">” (Foucault 2007: 64), resulta clave preguntar </w:t>
      </w:r>
      <w:r w:rsidRPr="000E2841">
        <w:rPr>
          <w:rFonts w:ascii="Times New Roman" w:hAnsi="Times New Roman" w:cs="Times New Roman"/>
          <w:sz w:val="24"/>
          <w:szCs w:val="24"/>
          <w:lang w:val="es-ES"/>
        </w:rPr>
        <w:t xml:space="preserve">cómo determinar cuál es </w:t>
      </w:r>
      <w:r>
        <w:rPr>
          <w:rFonts w:ascii="Times New Roman" w:hAnsi="Times New Roman" w:cs="Times New Roman"/>
          <w:sz w:val="24"/>
          <w:szCs w:val="24"/>
          <w:lang w:val="es-ES"/>
        </w:rPr>
        <w:t>dicho interés:</w:t>
      </w:r>
      <w:r w:rsidR="0019095B">
        <w:rPr>
          <w:rFonts w:ascii="Times New Roman" w:hAnsi="Times New Roman" w:cs="Times New Roman"/>
          <w:sz w:val="24"/>
          <w:szCs w:val="24"/>
          <w:lang w:val="es-ES"/>
        </w:rPr>
        <w:t xml:space="preserve"> </w:t>
      </w:r>
      <w:r>
        <w:rPr>
          <w:rFonts w:ascii="Times New Roman" w:hAnsi="Times New Roman" w:cs="Times New Roman"/>
          <w:sz w:val="24"/>
          <w:szCs w:val="24"/>
          <w:lang w:val="es-ES"/>
        </w:rPr>
        <w:t>¿qué intereses se incluyen y cuáles se excluyen?</w:t>
      </w:r>
      <w:r w:rsidRPr="000E2841">
        <w:rPr>
          <w:rFonts w:ascii="Times New Roman" w:hAnsi="Times New Roman" w:cs="Times New Roman"/>
          <w:sz w:val="24"/>
          <w:szCs w:val="24"/>
          <w:lang w:val="es-ES"/>
        </w:rPr>
        <w:t xml:space="preserve"> Hacer esto es importante pues va a servir como límite de la propia práctica gubernamental, es la vara que mide qué debe hacer el Estado, cómo debe gobernar, cuáles políticas son las mejores políticas. </w:t>
      </w:r>
      <w:r w:rsidRPr="000E2841">
        <w:rPr>
          <w:rFonts w:ascii="Times New Roman" w:hAnsi="Times New Roman" w:cs="Times New Roman"/>
          <w:sz w:val="24"/>
          <w:szCs w:val="24"/>
        </w:rPr>
        <w:t>Para definirlo el arte de gobernar liberal recurre a dos grandes principios: el de veridicción y el de utilidad</w:t>
      </w:r>
      <w:r>
        <w:rPr>
          <w:rFonts w:ascii="Times New Roman" w:hAnsi="Times New Roman" w:cs="Times New Roman"/>
          <w:sz w:val="24"/>
          <w:szCs w:val="24"/>
        </w:rPr>
        <w:t xml:space="preserve"> (Foucault 2007)</w:t>
      </w:r>
      <w:r w:rsidRPr="000E2841">
        <w:rPr>
          <w:rFonts w:ascii="Times New Roman" w:hAnsi="Times New Roman" w:cs="Times New Roman"/>
          <w:sz w:val="24"/>
          <w:szCs w:val="24"/>
        </w:rPr>
        <w:t xml:space="preserve">. </w:t>
      </w:r>
      <w:r w:rsidR="0016623C" w:rsidRPr="0016623C">
        <w:rPr>
          <w:rFonts w:ascii="Times New Roman" w:hAnsi="Times New Roman" w:cs="Times New Roman"/>
          <w:sz w:val="24"/>
          <w:szCs w:val="24"/>
          <w:lang w:val="es-ES"/>
        </w:rPr>
        <w:t xml:space="preserve">Lo ‘verdadero’, determinado como tal por el conocimiento científico positivista, pasa a ser lo ‘bueno’, lo ‘correcto’, lo que </w:t>
      </w:r>
      <w:r w:rsidR="0016623C" w:rsidRPr="0016623C">
        <w:rPr>
          <w:rFonts w:ascii="Times New Roman" w:hAnsi="Times New Roman" w:cs="Times New Roman"/>
          <w:i/>
          <w:sz w:val="24"/>
          <w:szCs w:val="24"/>
          <w:lang w:val="es-ES"/>
        </w:rPr>
        <w:t>debe</w:t>
      </w:r>
      <w:r w:rsidR="0016623C" w:rsidRPr="0016623C">
        <w:rPr>
          <w:rFonts w:ascii="Times New Roman" w:hAnsi="Times New Roman" w:cs="Times New Roman"/>
          <w:sz w:val="24"/>
          <w:szCs w:val="24"/>
          <w:lang w:val="es-ES"/>
        </w:rPr>
        <w:t xml:space="preserve"> hacerse. Por ejemplo, en el mercado como lugar de veridicción se ve claramente la naturalización de la confusión que yace en el corazón de la filosofía utilitarista: confundir lo ‘verdadero’ con lo ‘bueno’: el precio ‘verdadero’ emerge de libre juego entre la oferta y la demanda y por ello es el mejor precio posible.</w:t>
      </w:r>
      <w:r w:rsidR="00203E8B">
        <w:rPr>
          <w:rFonts w:ascii="Times New Roman" w:hAnsi="Times New Roman" w:cs="Times New Roman"/>
          <w:sz w:val="24"/>
          <w:szCs w:val="24"/>
          <w:lang w:val="es-ES"/>
        </w:rPr>
        <w:t xml:space="preserve"> La utilidad,</w:t>
      </w:r>
      <w:r w:rsidR="0019095B">
        <w:rPr>
          <w:rFonts w:ascii="Times New Roman" w:hAnsi="Times New Roman" w:cs="Times New Roman"/>
          <w:sz w:val="24"/>
          <w:szCs w:val="24"/>
          <w:lang w:val="es-ES"/>
        </w:rPr>
        <w:t xml:space="preserve"> así</w:t>
      </w:r>
      <w:r w:rsidR="00203E8B">
        <w:rPr>
          <w:rFonts w:ascii="Times New Roman" w:hAnsi="Times New Roman" w:cs="Times New Roman"/>
          <w:sz w:val="24"/>
          <w:szCs w:val="24"/>
          <w:lang w:val="es-ES"/>
        </w:rPr>
        <w:t xml:space="preserve"> </w:t>
      </w:r>
      <w:r w:rsidR="00304EE4">
        <w:rPr>
          <w:rFonts w:ascii="Times New Roman" w:hAnsi="Times New Roman" w:cs="Times New Roman"/>
          <w:sz w:val="24"/>
          <w:szCs w:val="24"/>
          <w:lang w:val="es-ES"/>
        </w:rPr>
        <w:t>confundida</w:t>
      </w:r>
      <w:r w:rsidR="00203E8B">
        <w:rPr>
          <w:rFonts w:ascii="Times New Roman" w:hAnsi="Times New Roman" w:cs="Times New Roman"/>
          <w:sz w:val="24"/>
          <w:szCs w:val="24"/>
          <w:lang w:val="es-ES"/>
        </w:rPr>
        <w:t xml:space="preserve"> con el </w:t>
      </w:r>
      <w:r w:rsidR="00203E8B" w:rsidRPr="00203E8B">
        <w:rPr>
          <w:rFonts w:ascii="Times New Roman" w:hAnsi="Times New Roman" w:cs="Times New Roman"/>
          <w:i/>
          <w:sz w:val="24"/>
          <w:szCs w:val="24"/>
          <w:lang w:val="es-ES"/>
        </w:rPr>
        <w:t>bien</w:t>
      </w:r>
      <w:r w:rsidR="00203E8B">
        <w:rPr>
          <w:rFonts w:ascii="Times New Roman" w:hAnsi="Times New Roman" w:cs="Times New Roman"/>
          <w:sz w:val="24"/>
          <w:szCs w:val="24"/>
          <w:lang w:val="es-ES"/>
        </w:rPr>
        <w:t xml:space="preserve"> </w:t>
      </w:r>
      <w:r w:rsidR="00203E8B" w:rsidRPr="00203E8B">
        <w:rPr>
          <w:rFonts w:ascii="Times New Roman" w:hAnsi="Times New Roman" w:cs="Times New Roman"/>
          <w:i/>
          <w:sz w:val="24"/>
          <w:szCs w:val="24"/>
          <w:lang w:val="es-ES"/>
        </w:rPr>
        <w:t>común</w:t>
      </w:r>
      <w:r w:rsidR="00203E8B">
        <w:rPr>
          <w:rFonts w:ascii="Times New Roman" w:hAnsi="Times New Roman" w:cs="Times New Roman"/>
          <w:sz w:val="24"/>
          <w:szCs w:val="24"/>
          <w:lang w:val="es-ES"/>
        </w:rPr>
        <w:t xml:space="preserve">, pasa a ser objeto pasible de ser </w:t>
      </w:r>
      <w:r w:rsidR="00304EE4">
        <w:rPr>
          <w:rFonts w:ascii="Times New Roman" w:hAnsi="Times New Roman" w:cs="Times New Roman"/>
          <w:sz w:val="24"/>
          <w:szCs w:val="24"/>
          <w:lang w:val="es-ES"/>
        </w:rPr>
        <w:t>descubierto</w:t>
      </w:r>
      <w:r w:rsidR="00203E8B">
        <w:rPr>
          <w:rFonts w:ascii="Times New Roman" w:hAnsi="Times New Roman" w:cs="Times New Roman"/>
          <w:sz w:val="24"/>
          <w:szCs w:val="24"/>
          <w:lang w:val="es-ES"/>
        </w:rPr>
        <w:t>. Lo más útil</w:t>
      </w:r>
      <w:r w:rsidR="00304EE4">
        <w:rPr>
          <w:rFonts w:ascii="Times New Roman" w:hAnsi="Times New Roman" w:cs="Times New Roman"/>
          <w:sz w:val="24"/>
          <w:szCs w:val="24"/>
          <w:lang w:val="es-ES"/>
        </w:rPr>
        <w:t>, el bien común,</w:t>
      </w:r>
      <w:r w:rsidR="00203E8B">
        <w:rPr>
          <w:rFonts w:ascii="Times New Roman" w:hAnsi="Times New Roman" w:cs="Times New Roman"/>
          <w:sz w:val="24"/>
          <w:szCs w:val="24"/>
          <w:lang w:val="es-ES"/>
        </w:rPr>
        <w:t xml:space="preserve"> será lo que la ciencia demuestre que es lo ‘verdadero’.</w:t>
      </w:r>
    </w:p>
    <w:p w14:paraId="172C85AD" w14:textId="77777777" w:rsidR="0016623C" w:rsidRDefault="0016623C" w:rsidP="00C20901">
      <w:pPr>
        <w:spacing w:line="360" w:lineRule="auto"/>
        <w:jc w:val="both"/>
        <w:rPr>
          <w:rFonts w:ascii="Times New Roman" w:hAnsi="Times New Roman" w:cs="Times New Roman"/>
          <w:sz w:val="24"/>
          <w:szCs w:val="24"/>
          <w:lang w:val="es-ES"/>
        </w:rPr>
      </w:pPr>
      <w:r w:rsidRPr="0016623C">
        <w:rPr>
          <w:rFonts w:ascii="Times New Roman" w:hAnsi="Times New Roman" w:cs="Times New Roman"/>
          <w:sz w:val="24"/>
          <w:szCs w:val="24"/>
          <w:lang w:val="es-ES"/>
        </w:rPr>
        <w:t xml:space="preserve"> “Ahora, por el mercado, el gobierno, para poder ser un buen gobierno, deberá actuar en la verdad” (Foucault 2007: 50). </w:t>
      </w:r>
    </w:p>
    <w:p w14:paraId="2210FBAA" w14:textId="77777777" w:rsidR="00C61BE6" w:rsidRDefault="00C61BE6" w:rsidP="00C20901">
      <w:pPr>
        <w:spacing w:line="360" w:lineRule="auto"/>
        <w:jc w:val="both"/>
        <w:rPr>
          <w:rFonts w:ascii="Times New Roman" w:hAnsi="Times New Roman" w:cs="Times New Roman"/>
          <w:b/>
          <w:sz w:val="24"/>
          <w:szCs w:val="24"/>
          <w:lang w:val="es-ES"/>
        </w:rPr>
      </w:pPr>
      <w:r w:rsidRPr="007C3C8C">
        <w:rPr>
          <w:rFonts w:ascii="Times New Roman" w:hAnsi="Times New Roman" w:cs="Times New Roman"/>
          <w:b/>
          <w:sz w:val="24"/>
          <w:szCs w:val="24"/>
          <w:lang w:val="es-ES"/>
        </w:rPr>
        <w:t>Etnog</w:t>
      </w:r>
      <w:r w:rsidR="007C3C8C">
        <w:rPr>
          <w:rFonts w:ascii="Times New Roman" w:hAnsi="Times New Roman" w:cs="Times New Roman"/>
          <w:b/>
          <w:sz w:val="24"/>
          <w:szCs w:val="24"/>
          <w:lang w:val="es-ES"/>
        </w:rPr>
        <w:t>rafí</w:t>
      </w:r>
      <w:r w:rsidRPr="007C3C8C">
        <w:rPr>
          <w:rFonts w:ascii="Times New Roman" w:hAnsi="Times New Roman" w:cs="Times New Roman"/>
          <w:b/>
          <w:sz w:val="24"/>
          <w:szCs w:val="24"/>
          <w:lang w:val="es-ES"/>
        </w:rPr>
        <w:t>a</w:t>
      </w:r>
      <w:r w:rsidR="007C3C8C">
        <w:rPr>
          <w:rFonts w:ascii="Times New Roman" w:hAnsi="Times New Roman" w:cs="Times New Roman"/>
          <w:b/>
          <w:sz w:val="24"/>
          <w:szCs w:val="24"/>
          <w:lang w:val="es-ES"/>
        </w:rPr>
        <w:t xml:space="preserve"> de</w:t>
      </w:r>
      <w:r w:rsidRPr="007C3C8C">
        <w:rPr>
          <w:rFonts w:ascii="Times New Roman" w:hAnsi="Times New Roman" w:cs="Times New Roman"/>
          <w:b/>
          <w:sz w:val="24"/>
          <w:szCs w:val="24"/>
          <w:lang w:val="es-ES"/>
        </w:rPr>
        <w:t xml:space="preserve"> un expediente</w:t>
      </w:r>
    </w:p>
    <w:p w14:paraId="00937CFB" w14:textId="77777777" w:rsidR="00A13664" w:rsidRDefault="002A4E2E" w:rsidP="00C20901">
      <w:p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 xml:space="preserve">La idea de </w:t>
      </w:r>
      <w:r w:rsidR="00A42994">
        <w:rPr>
          <w:rFonts w:ascii="Times New Roman" w:hAnsi="Times New Roman" w:cs="Times New Roman"/>
          <w:sz w:val="24"/>
          <w:szCs w:val="24"/>
          <w:lang w:val="es-ES"/>
        </w:rPr>
        <w:t>etnografi</w:t>
      </w:r>
      <w:r>
        <w:rPr>
          <w:rFonts w:ascii="Times New Roman" w:hAnsi="Times New Roman" w:cs="Times New Roman"/>
          <w:sz w:val="24"/>
          <w:szCs w:val="24"/>
          <w:lang w:val="es-ES"/>
        </w:rPr>
        <w:t xml:space="preserve">ar un expediente </w:t>
      </w:r>
      <w:r w:rsidR="00A42994">
        <w:rPr>
          <w:rFonts w:ascii="Times New Roman" w:hAnsi="Times New Roman" w:cs="Times New Roman"/>
          <w:sz w:val="24"/>
          <w:szCs w:val="24"/>
          <w:lang w:val="es-ES"/>
        </w:rPr>
        <w:t>surgió</w:t>
      </w:r>
      <w:r>
        <w:rPr>
          <w:rFonts w:ascii="Times New Roman" w:hAnsi="Times New Roman" w:cs="Times New Roman"/>
          <w:sz w:val="24"/>
          <w:szCs w:val="24"/>
          <w:lang w:val="es-ES"/>
        </w:rPr>
        <w:t xml:space="preserve"> </w:t>
      </w:r>
      <w:r w:rsidR="00DF5C4A">
        <w:rPr>
          <w:rFonts w:ascii="Times New Roman" w:hAnsi="Times New Roman" w:cs="Times New Roman"/>
          <w:sz w:val="24"/>
          <w:szCs w:val="24"/>
          <w:lang w:val="es-ES"/>
        </w:rPr>
        <w:t>por</w:t>
      </w:r>
      <w:r>
        <w:rPr>
          <w:rFonts w:ascii="Times New Roman" w:hAnsi="Times New Roman" w:cs="Times New Roman"/>
          <w:sz w:val="24"/>
          <w:szCs w:val="24"/>
          <w:lang w:val="es-ES"/>
        </w:rPr>
        <w:t xml:space="preserve"> las dificultades con las que me fui e</w:t>
      </w:r>
      <w:r w:rsidR="00A42994">
        <w:rPr>
          <w:rFonts w:ascii="Times New Roman" w:hAnsi="Times New Roman" w:cs="Times New Roman"/>
          <w:sz w:val="24"/>
          <w:szCs w:val="24"/>
          <w:lang w:val="es-ES"/>
        </w:rPr>
        <w:t>n</w:t>
      </w:r>
      <w:r>
        <w:rPr>
          <w:rFonts w:ascii="Times New Roman" w:hAnsi="Times New Roman" w:cs="Times New Roman"/>
          <w:sz w:val="24"/>
          <w:szCs w:val="24"/>
          <w:lang w:val="es-ES"/>
        </w:rPr>
        <w:t xml:space="preserve">contrando para llevar a cabo esta investigación. </w:t>
      </w:r>
      <w:r w:rsidR="007511E6">
        <w:rPr>
          <w:rFonts w:ascii="Times New Roman" w:hAnsi="Times New Roman" w:cs="Times New Roman"/>
          <w:sz w:val="24"/>
          <w:szCs w:val="24"/>
          <w:lang w:val="es-ES"/>
        </w:rPr>
        <w:t>C</w:t>
      </w:r>
      <w:r>
        <w:rPr>
          <w:rFonts w:ascii="Times New Roman" w:hAnsi="Times New Roman" w:cs="Times New Roman"/>
          <w:sz w:val="24"/>
          <w:szCs w:val="24"/>
          <w:lang w:val="es-ES"/>
        </w:rPr>
        <w:t xml:space="preserve">uando </w:t>
      </w:r>
      <w:r w:rsidR="007511E6">
        <w:rPr>
          <w:rFonts w:ascii="Times New Roman" w:hAnsi="Times New Roman" w:cs="Times New Roman"/>
          <w:sz w:val="24"/>
          <w:szCs w:val="24"/>
          <w:lang w:val="es-ES"/>
        </w:rPr>
        <w:t>la inicié</w:t>
      </w:r>
      <w:r>
        <w:rPr>
          <w:rFonts w:ascii="Times New Roman" w:hAnsi="Times New Roman" w:cs="Times New Roman"/>
          <w:sz w:val="24"/>
          <w:szCs w:val="24"/>
          <w:lang w:val="es-ES"/>
        </w:rPr>
        <w:t>, allá por el año 2012, la Corte Suprema ya había emitido su veredicto y había remitido la causa a la justicia de Salta. El expediente me fue imposible de conseguir, con lo cual tuve que ‘recon</w:t>
      </w:r>
      <w:r w:rsidR="00A42994">
        <w:rPr>
          <w:rFonts w:ascii="Times New Roman" w:hAnsi="Times New Roman" w:cs="Times New Roman"/>
          <w:sz w:val="24"/>
          <w:szCs w:val="24"/>
          <w:lang w:val="es-ES"/>
        </w:rPr>
        <w:t>s</w:t>
      </w:r>
      <w:r>
        <w:rPr>
          <w:rFonts w:ascii="Times New Roman" w:hAnsi="Times New Roman" w:cs="Times New Roman"/>
          <w:sz w:val="24"/>
          <w:szCs w:val="24"/>
          <w:lang w:val="es-ES"/>
        </w:rPr>
        <w:t>truirlo’</w:t>
      </w:r>
      <w:r w:rsidR="00A42994">
        <w:rPr>
          <w:rFonts w:ascii="Times New Roman" w:hAnsi="Times New Roman" w:cs="Times New Roman"/>
          <w:sz w:val="24"/>
          <w:szCs w:val="24"/>
          <w:lang w:val="es-ES"/>
        </w:rPr>
        <w:t xml:space="preserve">: buscar la </w:t>
      </w:r>
      <w:r w:rsidR="00A42994">
        <w:rPr>
          <w:rFonts w:ascii="Times New Roman" w:hAnsi="Times New Roman" w:cs="Times New Roman"/>
          <w:sz w:val="24"/>
          <w:szCs w:val="24"/>
          <w:lang w:val="es-ES"/>
        </w:rPr>
        <w:lastRenderedPageBreak/>
        <w:t>información que</w:t>
      </w:r>
      <w:r w:rsidR="00280C4B">
        <w:rPr>
          <w:rFonts w:ascii="Times New Roman" w:hAnsi="Times New Roman" w:cs="Times New Roman"/>
          <w:sz w:val="24"/>
          <w:szCs w:val="24"/>
          <w:lang w:val="es-ES"/>
        </w:rPr>
        <w:t xml:space="preserve"> este</w:t>
      </w:r>
      <w:r w:rsidR="00A42994">
        <w:rPr>
          <w:rFonts w:ascii="Times New Roman" w:hAnsi="Times New Roman" w:cs="Times New Roman"/>
          <w:sz w:val="24"/>
          <w:szCs w:val="24"/>
          <w:lang w:val="es-ES"/>
        </w:rPr>
        <w:t xml:space="preserve"> contenía por otros medios</w:t>
      </w:r>
      <w:r>
        <w:rPr>
          <w:rFonts w:ascii="Times New Roman" w:hAnsi="Times New Roman" w:cs="Times New Roman"/>
          <w:sz w:val="24"/>
          <w:szCs w:val="24"/>
          <w:lang w:val="es-ES"/>
        </w:rPr>
        <w:t>. Dicha dificultad se convirtió en una oportunidad para re</w:t>
      </w:r>
      <w:r w:rsidR="00DF5C4A">
        <w:rPr>
          <w:rFonts w:ascii="Times New Roman" w:hAnsi="Times New Roman" w:cs="Times New Roman"/>
          <w:sz w:val="24"/>
          <w:szCs w:val="24"/>
          <w:lang w:val="es-ES"/>
        </w:rPr>
        <w:t>alizar una suerte de etnografía:</w:t>
      </w:r>
      <w:r>
        <w:rPr>
          <w:rFonts w:ascii="Times New Roman" w:hAnsi="Times New Roman" w:cs="Times New Roman"/>
          <w:sz w:val="24"/>
          <w:szCs w:val="24"/>
          <w:lang w:val="es-ES"/>
        </w:rPr>
        <w:t xml:space="preserve"> tuve que recorrer instituciones, lidiar con los ‘</w:t>
      </w:r>
      <w:r w:rsidR="00DF5C4A">
        <w:rPr>
          <w:rFonts w:ascii="Times New Roman" w:hAnsi="Times New Roman" w:cs="Times New Roman"/>
          <w:sz w:val="24"/>
          <w:szCs w:val="24"/>
          <w:lang w:val="es-ES"/>
        </w:rPr>
        <w:t>rituales burocrá</w:t>
      </w:r>
      <w:r>
        <w:rPr>
          <w:rFonts w:ascii="Times New Roman" w:hAnsi="Times New Roman" w:cs="Times New Roman"/>
          <w:sz w:val="24"/>
          <w:szCs w:val="24"/>
          <w:lang w:val="es-ES"/>
        </w:rPr>
        <w:t xml:space="preserve">ticos’ que ello implica, </w:t>
      </w:r>
      <w:r w:rsidR="00DF5C4A">
        <w:rPr>
          <w:rFonts w:ascii="Times New Roman" w:hAnsi="Times New Roman" w:cs="Times New Roman"/>
          <w:sz w:val="24"/>
          <w:szCs w:val="24"/>
          <w:lang w:val="es-ES"/>
        </w:rPr>
        <w:t xml:space="preserve">realizar entrevistas, </w:t>
      </w:r>
      <w:r w:rsidR="00280C4B">
        <w:rPr>
          <w:rFonts w:ascii="Times New Roman" w:hAnsi="Times New Roman" w:cs="Times New Roman"/>
          <w:sz w:val="24"/>
          <w:szCs w:val="24"/>
          <w:lang w:val="es-ES"/>
        </w:rPr>
        <w:t>relacionarme</w:t>
      </w:r>
      <w:r w:rsidR="00DF5C4A">
        <w:rPr>
          <w:rFonts w:ascii="Times New Roman" w:hAnsi="Times New Roman" w:cs="Times New Roman"/>
          <w:sz w:val="24"/>
          <w:szCs w:val="24"/>
          <w:lang w:val="es-ES"/>
        </w:rPr>
        <w:t xml:space="preserve"> con diferentes actores, tanto funcionarios estat</w:t>
      </w:r>
      <w:r w:rsidR="00A42994">
        <w:rPr>
          <w:rFonts w:ascii="Times New Roman" w:hAnsi="Times New Roman" w:cs="Times New Roman"/>
          <w:sz w:val="24"/>
          <w:szCs w:val="24"/>
          <w:lang w:val="es-ES"/>
        </w:rPr>
        <w:t>a</w:t>
      </w:r>
      <w:r w:rsidR="00A13664">
        <w:rPr>
          <w:rFonts w:ascii="Times New Roman" w:hAnsi="Times New Roman" w:cs="Times New Roman"/>
          <w:sz w:val="24"/>
          <w:szCs w:val="24"/>
          <w:lang w:val="es-ES"/>
        </w:rPr>
        <w:t>les</w:t>
      </w:r>
      <w:r w:rsidR="00DF5C4A">
        <w:rPr>
          <w:rFonts w:ascii="Times New Roman" w:hAnsi="Times New Roman" w:cs="Times New Roman"/>
          <w:sz w:val="24"/>
          <w:szCs w:val="24"/>
          <w:lang w:val="es-ES"/>
        </w:rPr>
        <w:t xml:space="preserve"> como abogados</w:t>
      </w:r>
      <w:r w:rsidR="00280C4B">
        <w:rPr>
          <w:rFonts w:ascii="Times New Roman" w:hAnsi="Times New Roman" w:cs="Times New Roman"/>
          <w:sz w:val="24"/>
          <w:szCs w:val="24"/>
          <w:lang w:val="es-ES"/>
        </w:rPr>
        <w:t xml:space="preserve"> y</w:t>
      </w:r>
      <w:r w:rsidR="00DF5C4A">
        <w:rPr>
          <w:rFonts w:ascii="Times New Roman" w:hAnsi="Times New Roman" w:cs="Times New Roman"/>
          <w:sz w:val="24"/>
          <w:szCs w:val="24"/>
          <w:lang w:val="es-ES"/>
        </w:rPr>
        <w:t xml:space="preserve"> miembros de ONG y organizaciones sociales que estuvieron directa e indi</w:t>
      </w:r>
      <w:r w:rsidR="00A42994">
        <w:rPr>
          <w:rFonts w:ascii="Times New Roman" w:hAnsi="Times New Roman" w:cs="Times New Roman"/>
          <w:sz w:val="24"/>
          <w:szCs w:val="24"/>
          <w:lang w:val="es-ES"/>
        </w:rPr>
        <w:t xml:space="preserve">rectamente involucrados en la causa. A partir de este proceso </w:t>
      </w:r>
      <w:r w:rsidR="0019095B">
        <w:rPr>
          <w:rFonts w:ascii="Times New Roman" w:hAnsi="Times New Roman" w:cs="Times New Roman"/>
          <w:sz w:val="24"/>
          <w:szCs w:val="24"/>
          <w:lang w:val="es-ES"/>
        </w:rPr>
        <w:t>de</w:t>
      </w:r>
      <w:r w:rsidR="00A42994">
        <w:rPr>
          <w:rFonts w:ascii="Times New Roman" w:hAnsi="Times New Roman" w:cs="Times New Roman"/>
          <w:sz w:val="24"/>
          <w:szCs w:val="24"/>
          <w:lang w:val="es-ES"/>
        </w:rPr>
        <w:t xml:space="preserve"> </w:t>
      </w:r>
      <w:r w:rsidR="0019095B">
        <w:rPr>
          <w:rFonts w:ascii="Times New Roman" w:hAnsi="Times New Roman" w:cs="Times New Roman"/>
          <w:sz w:val="24"/>
          <w:szCs w:val="24"/>
          <w:lang w:val="es-ES"/>
        </w:rPr>
        <w:t>reconstrucción d</w:t>
      </w:r>
      <w:r w:rsidR="00A42994">
        <w:rPr>
          <w:rFonts w:ascii="Times New Roman" w:hAnsi="Times New Roman" w:cs="Times New Roman"/>
          <w:sz w:val="24"/>
          <w:szCs w:val="24"/>
          <w:lang w:val="es-ES"/>
        </w:rPr>
        <w:t xml:space="preserve">el expediente, </w:t>
      </w:r>
      <w:r w:rsidR="00A42994" w:rsidRPr="006D1B8F">
        <w:rPr>
          <w:rFonts w:ascii="Times New Roman" w:hAnsi="Times New Roman" w:cs="Times New Roman"/>
          <w:sz w:val="24"/>
          <w:szCs w:val="24"/>
        </w:rPr>
        <w:t>empecé a entender el conflicto que dio lugar a la misma, permitiéndome delimitar el ‘caso’, ya no sólo como la causa, sino como el conflicto del cual emerge.</w:t>
      </w:r>
    </w:p>
    <w:p w14:paraId="352E62F4" w14:textId="77777777" w:rsidR="00D97AB9" w:rsidRDefault="007A023D" w:rsidP="00C20901">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rPr>
        <w:t>Alguna vez escuche a un querido colega decir que la etnografía es ‘el intento de darle rigurosidad científica a lo anecdótico’. Y, en efecto, más allá de diversas posturas que existen sobre qué es la etnografía, creo que uno de los puntos en común es</w:t>
      </w:r>
      <w:r w:rsidR="00632122">
        <w:rPr>
          <w:rFonts w:ascii="Times New Roman" w:hAnsi="Times New Roman" w:cs="Times New Roman"/>
          <w:sz w:val="24"/>
          <w:szCs w:val="24"/>
        </w:rPr>
        <w:t xml:space="preserve"> la práctica de</w:t>
      </w:r>
      <w:r>
        <w:rPr>
          <w:rFonts w:ascii="Times New Roman" w:hAnsi="Times New Roman" w:cs="Times New Roman"/>
          <w:sz w:val="24"/>
          <w:szCs w:val="24"/>
        </w:rPr>
        <w:t xml:space="preserve"> “documentar lo no documentado” (Rockwell </w:t>
      </w:r>
      <w:r w:rsidR="007C64BA">
        <w:rPr>
          <w:rFonts w:ascii="Times New Roman" w:hAnsi="Times New Roman" w:cs="Times New Roman"/>
          <w:sz w:val="24"/>
          <w:szCs w:val="24"/>
        </w:rPr>
        <w:t>2009</w:t>
      </w:r>
      <w:r>
        <w:rPr>
          <w:rFonts w:ascii="Times New Roman" w:hAnsi="Times New Roman" w:cs="Times New Roman"/>
          <w:sz w:val="24"/>
          <w:szCs w:val="24"/>
        </w:rPr>
        <w:t xml:space="preserve">): documentar lo que parece anecdótico. Y digo lo que parece anecdótico porque, precisamente, cuando ponemos esas aparentes anécdotas, comentarios </w:t>
      </w:r>
      <w:r w:rsidR="00632122">
        <w:rPr>
          <w:rFonts w:ascii="Times New Roman" w:hAnsi="Times New Roman" w:cs="Times New Roman"/>
          <w:sz w:val="24"/>
          <w:szCs w:val="24"/>
        </w:rPr>
        <w:t>que escuchamos al pasar durante el trabajo de</w:t>
      </w:r>
      <w:r>
        <w:rPr>
          <w:rFonts w:ascii="Times New Roman" w:hAnsi="Times New Roman" w:cs="Times New Roman"/>
          <w:sz w:val="24"/>
          <w:szCs w:val="24"/>
        </w:rPr>
        <w:t xml:space="preserve"> </w:t>
      </w:r>
      <w:r w:rsidR="00632122">
        <w:rPr>
          <w:rFonts w:ascii="Times New Roman" w:hAnsi="Times New Roman" w:cs="Times New Roman"/>
          <w:sz w:val="24"/>
          <w:szCs w:val="24"/>
        </w:rPr>
        <w:t>campo</w:t>
      </w:r>
      <w:r>
        <w:rPr>
          <w:rFonts w:ascii="Times New Roman" w:hAnsi="Times New Roman" w:cs="Times New Roman"/>
          <w:sz w:val="24"/>
          <w:szCs w:val="24"/>
        </w:rPr>
        <w:t xml:space="preserve">, en el contexto de lo que estamos investigando, resulta que no que </w:t>
      </w:r>
      <w:r w:rsidR="00632122">
        <w:rPr>
          <w:rFonts w:ascii="Times New Roman" w:hAnsi="Times New Roman" w:cs="Times New Roman"/>
          <w:sz w:val="24"/>
          <w:szCs w:val="24"/>
        </w:rPr>
        <w:t>no eran</w:t>
      </w:r>
      <w:r>
        <w:rPr>
          <w:rFonts w:ascii="Times New Roman" w:hAnsi="Times New Roman" w:cs="Times New Roman"/>
          <w:sz w:val="24"/>
          <w:szCs w:val="24"/>
        </w:rPr>
        <w:t xml:space="preserve"> secundario</w:t>
      </w:r>
      <w:r w:rsidR="00632122">
        <w:rPr>
          <w:rFonts w:ascii="Times New Roman" w:hAnsi="Times New Roman" w:cs="Times New Roman"/>
          <w:sz w:val="24"/>
          <w:szCs w:val="24"/>
        </w:rPr>
        <w:t>s sino que de hecho</w:t>
      </w:r>
      <w:r>
        <w:rPr>
          <w:rFonts w:ascii="Times New Roman" w:hAnsi="Times New Roman" w:cs="Times New Roman"/>
          <w:sz w:val="24"/>
          <w:szCs w:val="24"/>
        </w:rPr>
        <w:t xml:space="preserve"> era</w:t>
      </w:r>
      <w:r w:rsidR="00632122">
        <w:rPr>
          <w:rFonts w:ascii="Times New Roman" w:hAnsi="Times New Roman" w:cs="Times New Roman"/>
          <w:sz w:val="24"/>
          <w:szCs w:val="24"/>
        </w:rPr>
        <w:t>n</w:t>
      </w:r>
      <w:r>
        <w:rPr>
          <w:rFonts w:ascii="Times New Roman" w:hAnsi="Times New Roman" w:cs="Times New Roman"/>
          <w:sz w:val="24"/>
          <w:szCs w:val="24"/>
        </w:rPr>
        <w:t xml:space="preserve"> central</w:t>
      </w:r>
      <w:r w:rsidR="00632122">
        <w:rPr>
          <w:rFonts w:ascii="Times New Roman" w:hAnsi="Times New Roman" w:cs="Times New Roman"/>
          <w:sz w:val="24"/>
          <w:szCs w:val="24"/>
        </w:rPr>
        <w:t>es</w:t>
      </w:r>
      <w:r>
        <w:rPr>
          <w:rFonts w:ascii="Times New Roman" w:hAnsi="Times New Roman" w:cs="Times New Roman"/>
          <w:sz w:val="24"/>
          <w:szCs w:val="24"/>
        </w:rPr>
        <w:t>. E</w:t>
      </w:r>
      <w:r w:rsidR="00A13664">
        <w:rPr>
          <w:rFonts w:ascii="Times New Roman" w:hAnsi="Times New Roman" w:cs="Times New Roman"/>
          <w:sz w:val="24"/>
          <w:szCs w:val="24"/>
        </w:rPr>
        <w:t>nte</w:t>
      </w:r>
      <w:r w:rsidR="00FE0226">
        <w:rPr>
          <w:rFonts w:ascii="Times New Roman" w:hAnsi="Times New Roman" w:cs="Times New Roman"/>
          <w:sz w:val="24"/>
          <w:szCs w:val="24"/>
        </w:rPr>
        <w:t>n</w:t>
      </w:r>
      <w:r>
        <w:rPr>
          <w:rFonts w:ascii="Times New Roman" w:hAnsi="Times New Roman" w:cs="Times New Roman"/>
          <w:sz w:val="24"/>
          <w:szCs w:val="24"/>
        </w:rPr>
        <w:t xml:space="preserve">diendo así a la etnografía, y esto no significa que se reduzca a esto, me atrevo a decir que mi proceso de investigación fue uno </w:t>
      </w:r>
      <w:r w:rsidR="00A42994">
        <w:rPr>
          <w:rFonts w:ascii="Times New Roman" w:hAnsi="Times New Roman" w:cs="Times New Roman"/>
          <w:sz w:val="24"/>
          <w:szCs w:val="24"/>
          <w:lang w:val="es-ES"/>
        </w:rPr>
        <w:t>etno</w:t>
      </w:r>
      <w:r w:rsidR="00112B24">
        <w:rPr>
          <w:rFonts w:ascii="Times New Roman" w:hAnsi="Times New Roman" w:cs="Times New Roman"/>
          <w:sz w:val="24"/>
          <w:szCs w:val="24"/>
          <w:lang w:val="es-ES"/>
        </w:rPr>
        <w:t>g</w:t>
      </w:r>
      <w:r w:rsidR="00A13664">
        <w:rPr>
          <w:rFonts w:ascii="Times New Roman" w:hAnsi="Times New Roman" w:cs="Times New Roman"/>
          <w:sz w:val="24"/>
          <w:szCs w:val="24"/>
          <w:lang w:val="es-ES"/>
        </w:rPr>
        <w:t>ráfico, pues</w:t>
      </w:r>
      <w:r w:rsidR="00A42994">
        <w:rPr>
          <w:rFonts w:ascii="Times New Roman" w:hAnsi="Times New Roman" w:cs="Times New Roman"/>
          <w:sz w:val="24"/>
          <w:szCs w:val="24"/>
          <w:lang w:val="es-ES"/>
        </w:rPr>
        <w:t xml:space="preserve"> me permitió </w:t>
      </w:r>
      <w:r w:rsidR="00632122">
        <w:rPr>
          <w:rFonts w:ascii="Times New Roman" w:hAnsi="Times New Roman" w:cs="Times New Roman"/>
          <w:sz w:val="24"/>
          <w:szCs w:val="24"/>
          <w:lang w:val="es-ES"/>
        </w:rPr>
        <w:t xml:space="preserve">registrar </w:t>
      </w:r>
      <w:r w:rsidR="00A42994">
        <w:rPr>
          <w:rFonts w:ascii="Times New Roman" w:hAnsi="Times New Roman" w:cs="Times New Roman"/>
          <w:sz w:val="24"/>
          <w:szCs w:val="24"/>
          <w:lang w:val="es-ES"/>
        </w:rPr>
        <w:t>las visiones</w:t>
      </w:r>
      <w:r w:rsidR="00632122">
        <w:rPr>
          <w:rFonts w:ascii="Times New Roman" w:hAnsi="Times New Roman" w:cs="Times New Roman"/>
          <w:sz w:val="24"/>
          <w:szCs w:val="24"/>
          <w:lang w:val="es-ES"/>
        </w:rPr>
        <w:t xml:space="preserve">, los sentidos que los distintos actores </w:t>
      </w:r>
      <w:r w:rsidR="00304EE4">
        <w:rPr>
          <w:rFonts w:ascii="Times New Roman" w:hAnsi="Times New Roman" w:cs="Times New Roman"/>
          <w:sz w:val="24"/>
          <w:szCs w:val="24"/>
          <w:lang w:val="es-ES"/>
        </w:rPr>
        <w:t>tuvieron</w:t>
      </w:r>
      <w:r w:rsidR="00A42994">
        <w:rPr>
          <w:rFonts w:ascii="Times New Roman" w:hAnsi="Times New Roman" w:cs="Times New Roman"/>
          <w:sz w:val="24"/>
          <w:szCs w:val="24"/>
          <w:lang w:val="es-ES"/>
        </w:rPr>
        <w:t xml:space="preserve"> </w:t>
      </w:r>
      <w:r w:rsidR="00304EE4">
        <w:rPr>
          <w:rFonts w:ascii="Times New Roman" w:hAnsi="Times New Roman" w:cs="Times New Roman"/>
          <w:sz w:val="24"/>
          <w:szCs w:val="24"/>
          <w:lang w:val="es-ES"/>
        </w:rPr>
        <w:t xml:space="preserve">sobre el </w:t>
      </w:r>
      <w:r w:rsidR="00A42994">
        <w:rPr>
          <w:rFonts w:ascii="Times New Roman" w:hAnsi="Times New Roman" w:cs="Times New Roman"/>
          <w:sz w:val="24"/>
          <w:szCs w:val="24"/>
          <w:lang w:val="es-ES"/>
        </w:rPr>
        <w:t>mismo conflicto</w:t>
      </w:r>
      <w:r w:rsidR="00304EE4">
        <w:rPr>
          <w:rFonts w:ascii="Times New Roman" w:hAnsi="Times New Roman" w:cs="Times New Roman"/>
          <w:sz w:val="24"/>
          <w:szCs w:val="24"/>
          <w:lang w:val="es-ES"/>
        </w:rPr>
        <w:t xml:space="preserve">. </w:t>
      </w:r>
      <w:r w:rsidR="00632122">
        <w:rPr>
          <w:rFonts w:ascii="Times New Roman" w:hAnsi="Times New Roman" w:cs="Times New Roman"/>
          <w:sz w:val="24"/>
          <w:szCs w:val="24"/>
          <w:lang w:val="es-ES"/>
        </w:rPr>
        <w:t xml:space="preserve">Así, pude conocer </w:t>
      </w:r>
      <w:r w:rsidR="007C64BA">
        <w:rPr>
          <w:rFonts w:ascii="Times New Roman" w:hAnsi="Times New Roman" w:cs="Times New Roman"/>
          <w:sz w:val="24"/>
          <w:szCs w:val="24"/>
          <w:lang w:val="es-ES"/>
        </w:rPr>
        <w:t>las perspectivas de los actores, que</w:t>
      </w:r>
      <w:r w:rsidR="00304EE4">
        <w:rPr>
          <w:rFonts w:ascii="Times New Roman" w:hAnsi="Times New Roman" w:cs="Times New Roman"/>
          <w:sz w:val="24"/>
          <w:szCs w:val="24"/>
          <w:lang w:val="es-ES"/>
        </w:rPr>
        <w:t xml:space="preserve"> pasaron a ser parte de los hechos a examinar, tanto como los documentos</w:t>
      </w:r>
      <w:r w:rsidR="00685C56">
        <w:rPr>
          <w:rFonts w:ascii="Times New Roman" w:hAnsi="Times New Roman" w:cs="Times New Roman"/>
          <w:sz w:val="24"/>
          <w:szCs w:val="24"/>
          <w:lang w:val="es-ES"/>
        </w:rPr>
        <w:t xml:space="preserve"> (Balbi 2008)</w:t>
      </w:r>
      <w:r w:rsidR="00304EE4">
        <w:rPr>
          <w:rFonts w:ascii="Times New Roman" w:hAnsi="Times New Roman" w:cs="Times New Roman"/>
          <w:sz w:val="24"/>
          <w:szCs w:val="24"/>
          <w:lang w:val="es-ES"/>
        </w:rPr>
        <w:t>.</w:t>
      </w:r>
      <w:r w:rsidR="00112B24">
        <w:rPr>
          <w:rFonts w:ascii="Times New Roman" w:hAnsi="Times New Roman" w:cs="Times New Roman"/>
          <w:sz w:val="24"/>
          <w:szCs w:val="24"/>
          <w:lang w:val="es-ES"/>
        </w:rPr>
        <w:t xml:space="preserve"> </w:t>
      </w:r>
      <w:r w:rsidR="00FE0226">
        <w:rPr>
          <w:rFonts w:ascii="Times New Roman" w:hAnsi="Times New Roman" w:cs="Times New Roman"/>
          <w:sz w:val="24"/>
          <w:szCs w:val="24"/>
          <w:lang w:val="es-ES"/>
        </w:rPr>
        <w:t>Fue en el transcurso de este proceso</w:t>
      </w:r>
      <w:r w:rsidR="00304EE4">
        <w:rPr>
          <w:rFonts w:ascii="Times New Roman" w:hAnsi="Times New Roman" w:cs="Times New Roman"/>
          <w:sz w:val="24"/>
          <w:szCs w:val="24"/>
          <w:lang w:val="es-ES"/>
        </w:rPr>
        <w:t>, de este diálogo “entre las perspectivas de los actores y la propia”</w:t>
      </w:r>
      <w:r w:rsidR="00685C56">
        <w:rPr>
          <w:rFonts w:ascii="Times New Roman" w:hAnsi="Times New Roman" w:cs="Times New Roman"/>
          <w:sz w:val="24"/>
          <w:szCs w:val="24"/>
          <w:lang w:val="es-ES"/>
        </w:rPr>
        <w:t xml:space="preserve"> (ídem: 9)</w:t>
      </w:r>
      <w:r w:rsidR="00304EE4">
        <w:rPr>
          <w:rFonts w:ascii="Times New Roman" w:hAnsi="Times New Roman" w:cs="Times New Roman"/>
          <w:sz w:val="24"/>
          <w:szCs w:val="24"/>
          <w:lang w:val="es-ES"/>
        </w:rPr>
        <w:t xml:space="preserve">, </w:t>
      </w:r>
      <w:r w:rsidR="00FE0226">
        <w:rPr>
          <w:rFonts w:ascii="Times New Roman" w:hAnsi="Times New Roman" w:cs="Times New Roman"/>
          <w:sz w:val="24"/>
          <w:szCs w:val="24"/>
          <w:lang w:val="es-ES"/>
        </w:rPr>
        <w:t>que empecé a desentrañar el conflicto que precede y excede al que se presenta en la demanda</w:t>
      </w:r>
      <w:r w:rsidR="008F6C42">
        <w:rPr>
          <w:rFonts w:ascii="Times New Roman" w:hAnsi="Times New Roman" w:cs="Times New Roman"/>
          <w:sz w:val="24"/>
          <w:szCs w:val="24"/>
          <w:lang w:val="es-ES"/>
        </w:rPr>
        <w:t xml:space="preserve"> y que da inicio a la causa</w:t>
      </w:r>
      <w:r w:rsidR="00FE0226">
        <w:rPr>
          <w:rFonts w:ascii="Times New Roman" w:hAnsi="Times New Roman" w:cs="Times New Roman"/>
          <w:sz w:val="24"/>
          <w:szCs w:val="24"/>
          <w:lang w:val="es-ES"/>
        </w:rPr>
        <w:t xml:space="preserve">. </w:t>
      </w:r>
      <w:r w:rsidR="008F6C42">
        <w:rPr>
          <w:rFonts w:ascii="Times New Roman" w:hAnsi="Times New Roman" w:cs="Times New Roman"/>
          <w:sz w:val="24"/>
          <w:szCs w:val="24"/>
          <w:lang w:val="es-ES"/>
        </w:rPr>
        <w:t>Lo que aquí relato</w:t>
      </w:r>
      <w:r w:rsidR="00280C4B">
        <w:rPr>
          <w:rFonts w:ascii="Times New Roman" w:hAnsi="Times New Roman" w:cs="Times New Roman"/>
          <w:sz w:val="24"/>
          <w:szCs w:val="24"/>
          <w:lang w:val="es-ES"/>
        </w:rPr>
        <w:t>, de forma lineal y</w:t>
      </w:r>
      <w:r w:rsidR="008F6C42">
        <w:rPr>
          <w:rFonts w:ascii="Times New Roman" w:hAnsi="Times New Roman" w:cs="Times New Roman"/>
          <w:sz w:val="24"/>
          <w:szCs w:val="24"/>
          <w:lang w:val="es-ES"/>
        </w:rPr>
        <w:t xml:space="preserve"> ordenada, es producto de ese</w:t>
      </w:r>
      <w:r w:rsidR="00632122">
        <w:rPr>
          <w:rFonts w:ascii="Times New Roman" w:hAnsi="Times New Roman" w:cs="Times New Roman"/>
          <w:sz w:val="24"/>
          <w:szCs w:val="24"/>
          <w:lang w:val="es-ES"/>
        </w:rPr>
        <w:t xml:space="preserve"> proces</w:t>
      </w:r>
      <w:r w:rsidR="00966C86">
        <w:rPr>
          <w:rFonts w:ascii="Times New Roman" w:hAnsi="Times New Roman" w:cs="Times New Roman"/>
          <w:sz w:val="24"/>
          <w:szCs w:val="24"/>
          <w:lang w:val="es-ES"/>
        </w:rPr>
        <w:t>o ecléctico tan propio de la et</w:t>
      </w:r>
      <w:r w:rsidR="00632122">
        <w:rPr>
          <w:rFonts w:ascii="Times New Roman" w:hAnsi="Times New Roman" w:cs="Times New Roman"/>
          <w:sz w:val="24"/>
          <w:szCs w:val="24"/>
          <w:lang w:val="es-ES"/>
        </w:rPr>
        <w:t>nografía: ese</w:t>
      </w:r>
      <w:r w:rsidR="008F6C42">
        <w:rPr>
          <w:rFonts w:ascii="Times New Roman" w:hAnsi="Times New Roman" w:cs="Times New Roman"/>
          <w:sz w:val="24"/>
          <w:szCs w:val="24"/>
          <w:lang w:val="es-ES"/>
        </w:rPr>
        <w:t xml:space="preserve"> ir y venir entre </w:t>
      </w:r>
      <w:r w:rsidR="00632122">
        <w:rPr>
          <w:rFonts w:ascii="Times New Roman" w:hAnsi="Times New Roman" w:cs="Times New Roman"/>
          <w:sz w:val="24"/>
          <w:szCs w:val="24"/>
          <w:lang w:val="es-ES"/>
        </w:rPr>
        <w:t>el trabajo de campo y la teoría</w:t>
      </w:r>
      <w:r w:rsidR="00304EE4">
        <w:rPr>
          <w:rFonts w:ascii="Times New Roman" w:hAnsi="Times New Roman" w:cs="Times New Roman"/>
          <w:sz w:val="24"/>
          <w:szCs w:val="24"/>
          <w:lang w:val="es-ES"/>
        </w:rPr>
        <w:t xml:space="preserve"> (Rockwell 2009). </w:t>
      </w:r>
    </w:p>
    <w:p w14:paraId="4F970634" w14:textId="77777777" w:rsidR="00A13664" w:rsidRDefault="00A404E7" w:rsidP="00C20901">
      <w:pPr>
        <w:spacing w:line="360" w:lineRule="auto"/>
        <w:jc w:val="both"/>
        <w:rPr>
          <w:rFonts w:ascii="Times New Roman" w:hAnsi="Times New Roman" w:cs="Times New Roman"/>
          <w:b/>
          <w:sz w:val="24"/>
          <w:szCs w:val="24"/>
        </w:rPr>
      </w:pPr>
      <w:r>
        <w:rPr>
          <w:rFonts w:ascii="Times New Roman" w:hAnsi="Times New Roman" w:cs="Times New Roman"/>
          <w:b/>
          <w:sz w:val="24"/>
          <w:szCs w:val="24"/>
        </w:rPr>
        <w:t>La Ley de Bosques y los servicios ambientales</w:t>
      </w:r>
    </w:p>
    <w:p w14:paraId="6FD5DCE1" w14:textId="77777777" w:rsidR="00CE22BF" w:rsidRDefault="008F6C42" w:rsidP="00C209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causa denominada </w:t>
      </w:r>
      <w:r w:rsidRPr="006D1B8F">
        <w:rPr>
          <w:rFonts w:ascii="Times New Roman" w:hAnsi="Times New Roman" w:cs="Times New Roman"/>
          <w:sz w:val="24"/>
          <w:szCs w:val="24"/>
        </w:rPr>
        <w:t>“Salas, Dino y otros vs. Provincia de Salta y Estado Nacional”</w:t>
      </w:r>
      <w:r>
        <w:rPr>
          <w:rFonts w:ascii="Times New Roman" w:hAnsi="Times New Roman" w:cs="Times New Roman"/>
          <w:sz w:val="24"/>
          <w:szCs w:val="24"/>
        </w:rPr>
        <w:t xml:space="preserve"> </w:t>
      </w:r>
      <w:r w:rsidRPr="008F6C42">
        <w:rPr>
          <w:rFonts w:ascii="Times New Roman" w:hAnsi="Times New Roman" w:cs="Times New Roman"/>
          <w:sz w:val="24"/>
          <w:szCs w:val="24"/>
        </w:rPr>
        <w:t xml:space="preserve">se originó con la presentación de una demanda de recurso de amparo por parte de comunidades indígenas y criollas del norte de la provincia de Salta en la que estas responsabilizan al Estado provincial </w:t>
      </w:r>
      <w:r>
        <w:rPr>
          <w:rFonts w:ascii="Times New Roman" w:hAnsi="Times New Roman" w:cs="Times New Roman"/>
          <w:sz w:val="24"/>
          <w:szCs w:val="24"/>
        </w:rPr>
        <w:t xml:space="preserve">y </w:t>
      </w:r>
      <w:r w:rsidRPr="008F6C42">
        <w:rPr>
          <w:rFonts w:ascii="Times New Roman" w:hAnsi="Times New Roman" w:cs="Times New Roman"/>
          <w:sz w:val="24"/>
          <w:szCs w:val="24"/>
        </w:rPr>
        <w:t xml:space="preserve">al nacional por el aumento exponencial de los </w:t>
      </w:r>
      <w:r w:rsidRPr="008F6C42">
        <w:rPr>
          <w:rFonts w:ascii="Times New Roman" w:hAnsi="Times New Roman" w:cs="Times New Roman"/>
          <w:sz w:val="24"/>
          <w:szCs w:val="24"/>
        </w:rPr>
        <w:lastRenderedPageBreak/>
        <w:t>desmontes en cuatro departamentos de la provincia de Salta: San Martín, Rivadavia, Orán y Santa Victoria</w:t>
      </w:r>
      <w:r>
        <w:rPr>
          <w:rFonts w:ascii="Times New Roman" w:hAnsi="Times New Roman" w:cs="Times New Roman"/>
          <w:sz w:val="24"/>
          <w:szCs w:val="24"/>
        </w:rPr>
        <w:t xml:space="preserve">. Fue presentada </w:t>
      </w:r>
      <w:r w:rsidR="008C410F">
        <w:rPr>
          <w:rFonts w:ascii="Times New Roman" w:hAnsi="Times New Roman" w:cs="Times New Roman"/>
          <w:sz w:val="24"/>
          <w:szCs w:val="24"/>
        </w:rPr>
        <w:t xml:space="preserve">ante la Corte Suprema de Justicia Nacional (CSJN) </w:t>
      </w:r>
      <w:r>
        <w:rPr>
          <w:rFonts w:ascii="Times New Roman" w:hAnsi="Times New Roman" w:cs="Times New Roman"/>
          <w:sz w:val="24"/>
          <w:szCs w:val="24"/>
        </w:rPr>
        <w:t xml:space="preserve">el </w:t>
      </w:r>
      <w:r w:rsidR="008C410F">
        <w:rPr>
          <w:rFonts w:ascii="Times New Roman" w:hAnsi="Times New Roman" w:cs="Times New Roman"/>
          <w:sz w:val="24"/>
          <w:szCs w:val="24"/>
        </w:rPr>
        <w:t xml:space="preserve">17 de diciembre del 2008. </w:t>
      </w:r>
      <w:r w:rsidR="00CE22BF">
        <w:rPr>
          <w:rFonts w:ascii="Times New Roman" w:hAnsi="Times New Roman" w:cs="Times New Roman"/>
          <w:sz w:val="24"/>
          <w:szCs w:val="24"/>
        </w:rPr>
        <w:t>Esto sucedió, c</w:t>
      </w:r>
      <w:r w:rsidR="008C410F">
        <w:rPr>
          <w:rFonts w:ascii="Times New Roman" w:hAnsi="Times New Roman" w:cs="Times New Roman"/>
          <w:sz w:val="24"/>
          <w:szCs w:val="24"/>
        </w:rPr>
        <w:t>uriosamente, un día después de que la Legislatura de Salta sancionara la ley 7543 de Ordenamiento Territorial de Bosques Nativos de dicha provincia</w:t>
      </w:r>
      <w:r w:rsidR="00CE22BF">
        <w:rPr>
          <w:rFonts w:ascii="Times New Roman" w:hAnsi="Times New Roman" w:cs="Times New Roman"/>
          <w:sz w:val="24"/>
          <w:szCs w:val="24"/>
        </w:rPr>
        <w:t>, ratificatoria de la ley nacional 26331</w:t>
      </w:r>
      <w:r w:rsidR="00CE22BF">
        <w:rPr>
          <w:rStyle w:val="FootnoteReference"/>
          <w:rFonts w:ascii="Times New Roman" w:hAnsi="Times New Roman" w:cs="Times New Roman"/>
          <w:sz w:val="24"/>
          <w:szCs w:val="24"/>
        </w:rPr>
        <w:footnoteReference w:id="4"/>
      </w:r>
      <w:r w:rsidR="00CE22BF">
        <w:rPr>
          <w:rFonts w:ascii="Times New Roman" w:hAnsi="Times New Roman" w:cs="Times New Roman"/>
          <w:sz w:val="24"/>
          <w:szCs w:val="24"/>
        </w:rPr>
        <w:t xml:space="preserve">, popularmente conocida como Ley de Bosques. </w:t>
      </w:r>
      <w:r w:rsidR="00A95A00">
        <w:rPr>
          <w:rFonts w:ascii="Times New Roman" w:hAnsi="Times New Roman" w:cs="Times New Roman"/>
          <w:sz w:val="24"/>
          <w:szCs w:val="24"/>
        </w:rPr>
        <w:t xml:space="preserve">Como veremos, </w:t>
      </w:r>
      <w:r w:rsidR="00CE22BF">
        <w:rPr>
          <w:rFonts w:ascii="Times New Roman" w:hAnsi="Times New Roman" w:cs="Times New Roman"/>
          <w:sz w:val="24"/>
          <w:szCs w:val="24"/>
        </w:rPr>
        <w:t>el conflicto radicó en la naturaleza de esta relación entre la demanda y las leyes 26331 y 7543.</w:t>
      </w:r>
    </w:p>
    <w:p w14:paraId="7A87A01E" w14:textId="77777777" w:rsidR="00827741" w:rsidRDefault="00855226" w:rsidP="00C20901">
      <w:pPr>
        <w:spacing w:line="360" w:lineRule="auto"/>
        <w:jc w:val="both"/>
        <w:rPr>
          <w:rFonts w:ascii="Times New Roman" w:hAnsi="Times New Roman" w:cs="Times New Roman"/>
          <w:sz w:val="24"/>
          <w:szCs w:val="24"/>
        </w:rPr>
      </w:pPr>
      <w:r>
        <w:rPr>
          <w:rFonts w:ascii="Times New Roman" w:hAnsi="Times New Roman" w:cs="Times New Roman"/>
          <w:sz w:val="24"/>
          <w:szCs w:val="24"/>
        </w:rPr>
        <w:t>La</w:t>
      </w:r>
      <w:r w:rsidR="008A33FB">
        <w:rPr>
          <w:rFonts w:ascii="Times New Roman" w:hAnsi="Times New Roman" w:cs="Times New Roman"/>
          <w:sz w:val="24"/>
          <w:szCs w:val="24"/>
        </w:rPr>
        <w:t xml:space="preserve"> Ley de Bosques se inscribe en un proceso ‘</w:t>
      </w:r>
      <w:r>
        <w:rPr>
          <w:rFonts w:ascii="Times New Roman" w:hAnsi="Times New Roman" w:cs="Times New Roman"/>
          <w:sz w:val="24"/>
          <w:szCs w:val="24"/>
        </w:rPr>
        <w:t>glo</w:t>
      </w:r>
      <w:r w:rsidR="008A33FB">
        <w:rPr>
          <w:rFonts w:ascii="Times New Roman" w:hAnsi="Times New Roman" w:cs="Times New Roman"/>
          <w:sz w:val="24"/>
          <w:szCs w:val="24"/>
        </w:rPr>
        <w:t xml:space="preserve">bal’ </w:t>
      </w:r>
      <w:r w:rsidR="003B2869" w:rsidRPr="003B2869">
        <w:rPr>
          <w:rFonts w:ascii="Times New Roman" w:hAnsi="Times New Roman" w:cs="Times New Roman"/>
          <w:sz w:val="24"/>
          <w:szCs w:val="24"/>
        </w:rPr>
        <w:t>de construcción científica e instauración del concepto de ‘servicios ambientales’</w:t>
      </w:r>
      <w:r>
        <w:rPr>
          <w:rFonts w:ascii="Times New Roman" w:hAnsi="Times New Roman" w:cs="Times New Roman"/>
          <w:sz w:val="24"/>
          <w:szCs w:val="24"/>
        </w:rPr>
        <w:t xml:space="preserve"> que, por cuestiones de espacio, no puedo desarrollar en detalle. Basta con decir que es producto</w:t>
      </w:r>
      <w:r w:rsidRPr="00E65720">
        <w:rPr>
          <w:rFonts w:ascii="Times New Roman" w:hAnsi="Times New Roman" w:cs="Times New Roman"/>
          <w:sz w:val="24"/>
          <w:szCs w:val="24"/>
        </w:rPr>
        <w:t xml:space="preserve"> de</w:t>
      </w:r>
      <w:r>
        <w:rPr>
          <w:rFonts w:ascii="Times New Roman" w:hAnsi="Times New Roman" w:cs="Times New Roman"/>
          <w:sz w:val="24"/>
          <w:szCs w:val="24"/>
        </w:rPr>
        <w:t>l</w:t>
      </w:r>
      <w:r w:rsidRPr="00E65720">
        <w:rPr>
          <w:rFonts w:ascii="Times New Roman" w:hAnsi="Times New Roman" w:cs="Times New Roman"/>
          <w:sz w:val="24"/>
          <w:szCs w:val="24"/>
        </w:rPr>
        <w:t xml:space="preserve"> proceso socio-histórico de construcción e instauración de un régimen de verdad basado en el conocimiento científico</w:t>
      </w:r>
      <w:r>
        <w:rPr>
          <w:rFonts w:ascii="Times New Roman" w:hAnsi="Times New Roman" w:cs="Times New Roman"/>
          <w:sz w:val="24"/>
          <w:szCs w:val="24"/>
        </w:rPr>
        <w:t xml:space="preserve"> y su correlato político: el desarrollo sostenible. Bajo este paradigma, que se inicia ya por 1972 con el famoso informe del Club de Roma, </w:t>
      </w:r>
      <w:r>
        <w:rPr>
          <w:rFonts w:ascii="Times New Roman" w:hAnsi="Times New Roman" w:cs="Times New Roman"/>
          <w:i/>
          <w:sz w:val="24"/>
          <w:szCs w:val="24"/>
        </w:rPr>
        <w:t xml:space="preserve">Los límites del crecimiento, </w:t>
      </w:r>
      <w:r>
        <w:rPr>
          <w:rFonts w:ascii="Times New Roman" w:hAnsi="Times New Roman" w:cs="Times New Roman"/>
          <w:sz w:val="24"/>
          <w:szCs w:val="24"/>
        </w:rPr>
        <w:t xml:space="preserve">empiezan a diseñarse políticas que logren solucionar la gran contradicción del capitalismo: desarrollo ilimitado en un mundo finito. </w:t>
      </w:r>
      <w:r w:rsidR="00827741">
        <w:rPr>
          <w:rFonts w:ascii="Times New Roman" w:hAnsi="Times New Roman" w:cs="Times New Roman"/>
          <w:sz w:val="24"/>
          <w:szCs w:val="24"/>
        </w:rPr>
        <w:t xml:space="preserve">Es así que emerge, a finales de 1990, el concepto de ‘servicios ambientales’, en la búsqueda de mecanismos para </w:t>
      </w:r>
      <w:r w:rsidR="00827741" w:rsidRPr="00E65720">
        <w:rPr>
          <w:rFonts w:ascii="Times New Roman" w:hAnsi="Times New Roman" w:cs="Times New Roman"/>
          <w:sz w:val="24"/>
          <w:szCs w:val="24"/>
        </w:rPr>
        <w:t>“internalizar” los “costos” ambientales</w:t>
      </w:r>
      <w:r w:rsidR="00827741">
        <w:rPr>
          <w:rFonts w:ascii="Times New Roman" w:hAnsi="Times New Roman" w:cs="Times New Roman"/>
          <w:sz w:val="24"/>
          <w:szCs w:val="24"/>
        </w:rPr>
        <w:t xml:space="preserve"> </w:t>
      </w:r>
      <w:r w:rsidR="00827741" w:rsidRPr="00E65720">
        <w:rPr>
          <w:rFonts w:ascii="Times New Roman" w:hAnsi="Times New Roman" w:cs="Times New Roman"/>
          <w:sz w:val="24"/>
          <w:szCs w:val="24"/>
        </w:rPr>
        <w:t>(Kull et al. 2015)</w:t>
      </w:r>
      <w:r w:rsidR="00827741">
        <w:rPr>
          <w:rFonts w:ascii="Times New Roman" w:hAnsi="Times New Roman" w:cs="Times New Roman"/>
          <w:sz w:val="24"/>
          <w:szCs w:val="24"/>
        </w:rPr>
        <w:t xml:space="preserve"> y que será definido para la comunidad internacional en </w:t>
      </w:r>
      <w:r>
        <w:rPr>
          <w:rFonts w:ascii="Times New Roman" w:hAnsi="Times New Roman" w:cs="Times New Roman"/>
          <w:sz w:val="24"/>
          <w:szCs w:val="24"/>
        </w:rPr>
        <w:t xml:space="preserve">el informe </w:t>
      </w:r>
      <w:r>
        <w:rPr>
          <w:rFonts w:ascii="Times New Roman" w:hAnsi="Times New Roman" w:cs="Times New Roman"/>
          <w:i/>
          <w:sz w:val="24"/>
          <w:szCs w:val="24"/>
        </w:rPr>
        <w:t xml:space="preserve">La evaluación de los ecosistemas del Milenio </w:t>
      </w:r>
      <w:r>
        <w:rPr>
          <w:rFonts w:ascii="Times New Roman" w:hAnsi="Times New Roman" w:cs="Times New Roman"/>
          <w:sz w:val="24"/>
          <w:szCs w:val="24"/>
        </w:rPr>
        <w:t>del año 2005, como “</w:t>
      </w:r>
      <w:r w:rsidRPr="00855226">
        <w:rPr>
          <w:rFonts w:ascii="Times New Roman" w:hAnsi="Times New Roman" w:cs="Times New Roman"/>
          <w:sz w:val="24"/>
          <w:szCs w:val="24"/>
        </w:rPr>
        <w:t>todos los beneficios que la sociedad obtiene de la naturaleza</w:t>
      </w:r>
      <w:r>
        <w:rPr>
          <w:rFonts w:ascii="Times New Roman" w:hAnsi="Times New Roman" w:cs="Times New Roman"/>
          <w:sz w:val="24"/>
          <w:szCs w:val="24"/>
        </w:rPr>
        <w:t>”</w:t>
      </w:r>
      <w:r w:rsidR="003B2869" w:rsidRPr="003B2869">
        <w:rPr>
          <w:rFonts w:ascii="Times New Roman" w:hAnsi="Times New Roman" w:cs="Times New Roman"/>
          <w:sz w:val="24"/>
          <w:szCs w:val="24"/>
        </w:rPr>
        <w:t xml:space="preserve">. </w:t>
      </w:r>
    </w:p>
    <w:p w14:paraId="40168CD2" w14:textId="77777777" w:rsidR="003B2869" w:rsidRPr="003B2869" w:rsidRDefault="003B2869" w:rsidP="00C20901">
      <w:pPr>
        <w:spacing w:line="360" w:lineRule="auto"/>
        <w:jc w:val="both"/>
        <w:rPr>
          <w:rFonts w:ascii="Times New Roman" w:hAnsi="Times New Roman" w:cs="Times New Roman"/>
          <w:sz w:val="24"/>
          <w:szCs w:val="24"/>
        </w:rPr>
      </w:pPr>
      <w:r w:rsidRPr="003B2869">
        <w:rPr>
          <w:rFonts w:ascii="Times New Roman" w:hAnsi="Times New Roman" w:cs="Times New Roman"/>
          <w:sz w:val="24"/>
          <w:szCs w:val="24"/>
        </w:rPr>
        <w:t xml:space="preserve">Es en </w:t>
      </w:r>
      <w:r w:rsidR="008A33FB">
        <w:rPr>
          <w:rFonts w:ascii="Times New Roman" w:hAnsi="Times New Roman" w:cs="Times New Roman"/>
          <w:sz w:val="24"/>
          <w:szCs w:val="24"/>
        </w:rPr>
        <w:t>este</w:t>
      </w:r>
      <w:r w:rsidRPr="003B2869">
        <w:rPr>
          <w:rFonts w:ascii="Times New Roman" w:hAnsi="Times New Roman" w:cs="Times New Roman"/>
          <w:sz w:val="24"/>
          <w:szCs w:val="24"/>
        </w:rPr>
        <w:t xml:space="preserve"> concepto d</w:t>
      </w:r>
      <w:r w:rsidR="008A33FB">
        <w:rPr>
          <w:rFonts w:ascii="Times New Roman" w:hAnsi="Times New Roman" w:cs="Times New Roman"/>
          <w:sz w:val="24"/>
          <w:szCs w:val="24"/>
        </w:rPr>
        <w:t>onde</w:t>
      </w:r>
      <w:r w:rsidRPr="003B2869">
        <w:rPr>
          <w:rFonts w:ascii="Times New Roman" w:hAnsi="Times New Roman" w:cs="Times New Roman"/>
          <w:sz w:val="24"/>
          <w:szCs w:val="24"/>
        </w:rPr>
        <w:t xml:space="preserve"> reside </w:t>
      </w:r>
      <w:r w:rsidR="00827741">
        <w:rPr>
          <w:rFonts w:ascii="Times New Roman" w:hAnsi="Times New Roman" w:cs="Times New Roman"/>
          <w:sz w:val="24"/>
          <w:szCs w:val="24"/>
        </w:rPr>
        <w:t>la novedad de  la Ley de Bosques</w:t>
      </w:r>
      <w:r w:rsidRPr="003B2869">
        <w:rPr>
          <w:rFonts w:ascii="Times New Roman" w:hAnsi="Times New Roman" w:cs="Times New Roman"/>
          <w:sz w:val="24"/>
          <w:szCs w:val="24"/>
        </w:rPr>
        <w:t>, en tanto permite que la Nación tenga potestad de regular sobre los bosques nativos, recurso que hasta ese momento era de exclusivo dominio provincial</w:t>
      </w:r>
      <w:r w:rsidRPr="003B2869">
        <w:rPr>
          <w:rFonts w:ascii="Times New Roman" w:hAnsi="Times New Roman" w:cs="Times New Roman"/>
          <w:sz w:val="24"/>
          <w:szCs w:val="24"/>
          <w:vertAlign w:val="superscript"/>
        </w:rPr>
        <w:footnoteReference w:id="5"/>
      </w:r>
      <w:r w:rsidRPr="003B2869">
        <w:rPr>
          <w:rFonts w:ascii="Times New Roman" w:hAnsi="Times New Roman" w:cs="Times New Roman"/>
          <w:sz w:val="24"/>
          <w:szCs w:val="24"/>
        </w:rPr>
        <w:t>. Al reconocer a los bosques nativos como ecosistemas que “brindan diversos servicios ambientales a la sociedad, además de los diversos recursos naturales con posibilidad de utilización económica” (art 2° ley 26331), logra articular el recurso ‘bosque nativo’ a la categoría m</w:t>
      </w:r>
      <w:r w:rsidR="008A33FB">
        <w:rPr>
          <w:rFonts w:ascii="Times New Roman" w:hAnsi="Times New Roman" w:cs="Times New Roman"/>
          <w:sz w:val="24"/>
          <w:szCs w:val="24"/>
        </w:rPr>
        <w:t>ás amplia y difusa de ambiente (art. 41 CN).</w:t>
      </w:r>
    </w:p>
    <w:p w14:paraId="3C2519C0" w14:textId="77777777" w:rsidR="003B2869" w:rsidRDefault="00625ADB" w:rsidP="00C2090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3B2869" w:rsidRPr="003B2869">
        <w:rPr>
          <w:rFonts w:ascii="Times New Roman" w:hAnsi="Times New Roman" w:cs="Times New Roman"/>
          <w:sz w:val="24"/>
          <w:szCs w:val="24"/>
        </w:rPr>
        <w:t>ambién</w:t>
      </w:r>
      <w:r>
        <w:rPr>
          <w:rFonts w:ascii="Times New Roman" w:hAnsi="Times New Roman" w:cs="Times New Roman"/>
          <w:sz w:val="24"/>
          <w:szCs w:val="24"/>
        </w:rPr>
        <w:t xml:space="preserve"> es este concepto el que</w:t>
      </w:r>
      <w:r w:rsidR="003B2869" w:rsidRPr="003B2869">
        <w:rPr>
          <w:rFonts w:ascii="Times New Roman" w:hAnsi="Times New Roman" w:cs="Times New Roman"/>
          <w:sz w:val="24"/>
          <w:szCs w:val="24"/>
        </w:rPr>
        <w:t xml:space="preserve"> legitima los instrumentos que crea la ley para preservar los servicios ambientales: el ordenamiento territorial y el fondo de compensación. </w:t>
      </w:r>
      <w:r w:rsidR="005232CA">
        <w:rPr>
          <w:rFonts w:ascii="Times New Roman" w:hAnsi="Times New Roman" w:cs="Times New Roman"/>
          <w:sz w:val="24"/>
          <w:szCs w:val="24"/>
        </w:rPr>
        <w:t>C</w:t>
      </w:r>
      <w:r>
        <w:rPr>
          <w:rFonts w:ascii="Times New Roman" w:hAnsi="Times New Roman" w:cs="Times New Roman"/>
          <w:sz w:val="24"/>
          <w:szCs w:val="24"/>
        </w:rPr>
        <w:t xml:space="preserve">omo surgió </w:t>
      </w:r>
      <w:r>
        <w:rPr>
          <w:rFonts w:ascii="Times New Roman" w:hAnsi="Times New Roman" w:cs="Times New Roman"/>
          <w:sz w:val="24"/>
          <w:szCs w:val="24"/>
        </w:rPr>
        <w:lastRenderedPageBreak/>
        <w:t>de charlas que mantuve con una abogada de la Secretaría de Ambiente y Desarrollo sustentable de la Nación</w:t>
      </w:r>
      <w:r w:rsidR="008A33FB">
        <w:rPr>
          <w:rFonts w:ascii="Times New Roman" w:hAnsi="Times New Roman" w:cs="Times New Roman"/>
          <w:sz w:val="24"/>
          <w:szCs w:val="24"/>
        </w:rPr>
        <w:t xml:space="preserve"> (SAyDS)</w:t>
      </w:r>
      <w:r>
        <w:rPr>
          <w:rFonts w:ascii="Times New Roman" w:hAnsi="Times New Roman" w:cs="Times New Roman"/>
          <w:sz w:val="24"/>
          <w:szCs w:val="24"/>
        </w:rPr>
        <w:t>, e</w:t>
      </w:r>
      <w:r w:rsidR="003B2869" w:rsidRPr="003B2869">
        <w:rPr>
          <w:rFonts w:ascii="Times New Roman" w:hAnsi="Times New Roman" w:cs="Times New Roman"/>
          <w:sz w:val="24"/>
          <w:szCs w:val="24"/>
        </w:rPr>
        <w:t>l concepto de servicios ambientales es el fundamento del beneficio económico pues la compensación</w:t>
      </w:r>
      <w:r w:rsidR="008A33FB">
        <w:rPr>
          <w:rFonts w:ascii="Times New Roman" w:hAnsi="Times New Roman" w:cs="Times New Roman"/>
          <w:sz w:val="24"/>
          <w:szCs w:val="24"/>
        </w:rPr>
        <w:t xml:space="preserve"> que otorga el fondo</w:t>
      </w:r>
      <w:r w:rsidR="003B2869" w:rsidRPr="003B2869">
        <w:rPr>
          <w:rFonts w:ascii="Times New Roman" w:hAnsi="Times New Roman" w:cs="Times New Roman"/>
          <w:sz w:val="24"/>
          <w:szCs w:val="24"/>
        </w:rPr>
        <w:t>, a manera de aporte no reintegrable que se les adjudica a los propietarios (sean público o privados), es por los servicios preservados</w:t>
      </w:r>
      <w:r w:rsidR="005232CA">
        <w:rPr>
          <w:rFonts w:ascii="Times New Roman" w:hAnsi="Times New Roman" w:cs="Times New Roman"/>
          <w:sz w:val="24"/>
          <w:szCs w:val="24"/>
        </w:rPr>
        <w:t>. El problema es que</w:t>
      </w:r>
      <w:r w:rsidR="003B2869" w:rsidRPr="003B2869">
        <w:rPr>
          <w:rFonts w:ascii="Times New Roman" w:hAnsi="Times New Roman" w:cs="Times New Roman"/>
          <w:sz w:val="24"/>
          <w:szCs w:val="24"/>
        </w:rPr>
        <w:t xml:space="preserve"> al no existir una metodología unificada para medir los servicios ambientales, la compensación se realiza por hectárea de bosque conservado, en función también de la categoría de conservación, por lo cual la ley justifica la regulación de uso del suelo a través del ordenamiento territorial (Casalderrey Zapata e.p.).</w:t>
      </w:r>
      <w:r>
        <w:rPr>
          <w:rFonts w:ascii="Times New Roman" w:hAnsi="Times New Roman" w:cs="Times New Roman"/>
          <w:sz w:val="24"/>
          <w:szCs w:val="24"/>
        </w:rPr>
        <w:t xml:space="preserve"> </w:t>
      </w:r>
      <w:r w:rsidR="00FE0600">
        <w:rPr>
          <w:rFonts w:ascii="Times New Roman" w:hAnsi="Times New Roman" w:cs="Times New Roman"/>
          <w:sz w:val="24"/>
          <w:szCs w:val="24"/>
        </w:rPr>
        <w:t>Dichas categorías de conservación eran tres: I (roja) alto nivel de conservación; II (amarilla) conservación media, aprovechamiento sustentable; III (verde) bosque apto para desmonte.</w:t>
      </w:r>
    </w:p>
    <w:p w14:paraId="76599CD5" w14:textId="77777777" w:rsidR="00A404E7" w:rsidRDefault="00A404E7" w:rsidP="00C20901">
      <w:pPr>
        <w:spacing w:line="360" w:lineRule="auto"/>
        <w:jc w:val="both"/>
        <w:rPr>
          <w:rFonts w:ascii="Times New Roman" w:hAnsi="Times New Roman" w:cs="Times New Roman"/>
          <w:sz w:val="24"/>
          <w:szCs w:val="24"/>
        </w:rPr>
      </w:pPr>
      <w:r>
        <w:rPr>
          <w:rFonts w:ascii="Times New Roman" w:hAnsi="Times New Roman" w:cs="Times New Roman"/>
          <w:b/>
          <w:sz w:val="24"/>
          <w:szCs w:val="24"/>
        </w:rPr>
        <w:t>El conflicto: “¿Para qué quieren la tierra?”</w:t>
      </w:r>
    </w:p>
    <w:p w14:paraId="66E29F86" w14:textId="77777777" w:rsidR="00625ADB" w:rsidRDefault="00625ADB" w:rsidP="00C20901">
      <w:pPr>
        <w:spacing w:line="360" w:lineRule="auto"/>
        <w:jc w:val="both"/>
        <w:rPr>
          <w:rFonts w:ascii="Times New Roman" w:hAnsi="Times New Roman" w:cs="Times New Roman"/>
          <w:sz w:val="24"/>
          <w:szCs w:val="24"/>
        </w:rPr>
      </w:pPr>
      <w:r w:rsidRPr="00625ADB">
        <w:rPr>
          <w:rFonts w:ascii="Times New Roman" w:hAnsi="Times New Roman" w:cs="Times New Roman"/>
          <w:sz w:val="24"/>
          <w:szCs w:val="24"/>
        </w:rPr>
        <w:t>Para el 2007</w:t>
      </w:r>
      <w:r w:rsidR="005232CA">
        <w:rPr>
          <w:rFonts w:ascii="Times New Roman" w:hAnsi="Times New Roman" w:cs="Times New Roman"/>
          <w:sz w:val="24"/>
          <w:szCs w:val="24"/>
        </w:rPr>
        <w:t xml:space="preserve">, cuando </w:t>
      </w:r>
      <w:r w:rsidR="008A33FB">
        <w:rPr>
          <w:rFonts w:ascii="Times New Roman" w:hAnsi="Times New Roman" w:cs="Times New Roman"/>
          <w:sz w:val="24"/>
          <w:szCs w:val="24"/>
        </w:rPr>
        <w:t>se</w:t>
      </w:r>
      <w:r w:rsidR="005232CA">
        <w:rPr>
          <w:rFonts w:ascii="Times New Roman" w:hAnsi="Times New Roman" w:cs="Times New Roman"/>
          <w:sz w:val="24"/>
          <w:szCs w:val="24"/>
        </w:rPr>
        <w:t xml:space="preserve"> sanciona la Ley de Bosques,</w:t>
      </w:r>
      <w:r w:rsidRPr="00625ADB">
        <w:rPr>
          <w:rFonts w:ascii="Times New Roman" w:hAnsi="Times New Roman" w:cs="Times New Roman"/>
          <w:sz w:val="24"/>
          <w:szCs w:val="24"/>
        </w:rPr>
        <w:t xml:space="preserve"> se vivía en </w:t>
      </w:r>
      <w:r>
        <w:rPr>
          <w:rFonts w:ascii="Times New Roman" w:hAnsi="Times New Roman" w:cs="Times New Roman"/>
          <w:sz w:val="24"/>
          <w:szCs w:val="24"/>
        </w:rPr>
        <w:t>el noroeste de la provincia</w:t>
      </w:r>
      <w:r w:rsidRPr="00625ADB">
        <w:rPr>
          <w:rFonts w:ascii="Times New Roman" w:hAnsi="Times New Roman" w:cs="Times New Roman"/>
          <w:sz w:val="24"/>
          <w:szCs w:val="24"/>
        </w:rPr>
        <w:t xml:space="preserve"> </w:t>
      </w:r>
      <w:r w:rsidR="005232CA">
        <w:rPr>
          <w:rFonts w:ascii="Times New Roman" w:hAnsi="Times New Roman" w:cs="Times New Roman"/>
          <w:sz w:val="24"/>
          <w:szCs w:val="24"/>
        </w:rPr>
        <w:t xml:space="preserve">de Salta </w:t>
      </w:r>
      <w:r w:rsidRPr="00625ADB">
        <w:rPr>
          <w:rFonts w:ascii="Times New Roman" w:hAnsi="Times New Roman" w:cs="Times New Roman"/>
          <w:sz w:val="24"/>
          <w:szCs w:val="24"/>
        </w:rPr>
        <w:t>un contexto de alta conflictividad socio-territorial, producto de la situación de irregularidad en la tenencia de la tierra y la alta vulnerabilidad de sus poseedores (indígenas y campesinos) ante el avance de la frontera agropecuaria (Frere 2004, Schmidt 2012, Van Dam 2008). A esto hay que sumarle la presión cada vez mayor por parte de diversos movimientos ambientalistas, tanto nacionales como internacionales</w:t>
      </w:r>
      <w:r w:rsidRPr="00625ADB">
        <w:rPr>
          <w:rFonts w:ascii="Times New Roman" w:hAnsi="Times New Roman" w:cs="Times New Roman"/>
          <w:sz w:val="24"/>
          <w:szCs w:val="24"/>
          <w:vertAlign w:val="superscript"/>
        </w:rPr>
        <w:footnoteReference w:id="6"/>
      </w:r>
      <w:r w:rsidRPr="00625ADB">
        <w:rPr>
          <w:rFonts w:ascii="Times New Roman" w:hAnsi="Times New Roman" w:cs="Times New Roman"/>
          <w:sz w:val="24"/>
          <w:szCs w:val="24"/>
        </w:rPr>
        <w:t>, e incluso de algunos sectores del gobierno nacional</w:t>
      </w:r>
      <w:r w:rsidRPr="00625ADB">
        <w:rPr>
          <w:rFonts w:ascii="Times New Roman" w:hAnsi="Times New Roman" w:cs="Times New Roman"/>
          <w:sz w:val="24"/>
          <w:szCs w:val="24"/>
          <w:vertAlign w:val="superscript"/>
        </w:rPr>
        <w:footnoteReference w:id="7"/>
      </w:r>
      <w:r w:rsidRPr="00625ADB">
        <w:rPr>
          <w:rFonts w:ascii="Times New Roman" w:hAnsi="Times New Roman" w:cs="Times New Roman"/>
          <w:sz w:val="24"/>
          <w:szCs w:val="24"/>
        </w:rPr>
        <w:t>, para ‘limitar’ dicho avance, siendo la sanción de la Ley de Bosques el ejemplo paradigmático.</w:t>
      </w:r>
      <w:r>
        <w:rPr>
          <w:rFonts w:ascii="Times New Roman" w:hAnsi="Times New Roman" w:cs="Times New Roman"/>
          <w:sz w:val="24"/>
          <w:szCs w:val="24"/>
        </w:rPr>
        <w:t xml:space="preserve"> </w:t>
      </w:r>
      <w:r w:rsidRPr="00625ADB">
        <w:rPr>
          <w:rFonts w:ascii="Times New Roman" w:hAnsi="Times New Roman" w:cs="Times New Roman"/>
          <w:sz w:val="24"/>
          <w:szCs w:val="24"/>
        </w:rPr>
        <w:t xml:space="preserve"> </w:t>
      </w:r>
    </w:p>
    <w:p w14:paraId="1F0EB32B" w14:textId="77777777" w:rsidR="00DA006F" w:rsidRDefault="00533707" w:rsidP="00C20901">
      <w:pPr>
        <w:spacing w:line="360" w:lineRule="auto"/>
        <w:jc w:val="both"/>
        <w:rPr>
          <w:rFonts w:ascii="Times New Roman" w:eastAsia="Calibri" w:hAnsi="Times New Roman" w:cs="Times New Roman"/>
          <w:sz w:val="24"/>
          <w:szCs w:val="24"/>
          <w:lang w:val="es-ES"/>
        </w:rPr>
      </w:pPr>
      <w:r w:rsidRPr="00E65720">
        <w:rPr>
          <w:rFonts w:ascii="Times New Roman" w:eastAsia="Calibri" w:hAnsi="Times New Roman" w:cs="Times New Roman"/>
          <w:sz w:val="24"/>
          <w:szCs w:val="24"/>
          <w:lang w:val="es-ES"/>
        </w:rPr>
        <w:t>Ante este complejo escenario se precipitaron una serie de</w:t>
      </w:r>
      <w:r>
        <w:rPr>
          <w:rFonts w:ascii="Times New Roman" w:eastAsia="Calibri" w:hAnsi="Times New Roman" w:cs="Times New Roman"/>
          <w:sz w:val="24"/>
          <w:szCs w:val="24"/>
          <w:lang w:val="es-ES"/>
        </w:rPr>
        <w:t xml:space="preserve"> acontecimientos que finalmente </w:t>
      </w:r>
      <w:r w:rsidR="00DA006F">
        <w:rPr>
          <w:rFonts w:ascii="Times New Roman" w:eastAsia="Calibri" w:hAnsi="Times New Roman" w:cs="Times New Roman"/>
          <w:sz w:val="24"/>
          <w:szCs w:val="24"/>
          <w:lang w:val="es-ES"/>
        </w:rPr>
        <w:t xml:space="preserve">llevaron a que </w:t>
      </w:r>
      <w:r>
        <w:rPr>
          <w:rFonts w:ascii="Times New Roman" w:eastAsia="Calibri" w:hAnsi="Times New Roman" w:cs="Times New Roman"/>
          <w:sz w:val="24"/>
          <w:szCs w:val="24"/>
          <w:lang w:val="es-ES"/>
        </w:rPr>
        <w:t>las comunidades indígenas y criollas presentasen la demanda.</w:t>
      </w:r>
      <w:r w:rsidR="005232CA">
        <w:rPr>
          <w:rFonts w:ascii="Times New Roman" w:eastAsia="Calibri" w:hAnsi="Times New Roman" w:cs="Times New Roman"/>
          <w:sz w:val="24"/>
          <w:szCs w:val="24"/>
          <w:lang w:val="es-ES"/>
        </w:rPr>
        <w:t xml:space="preserve"> Entre los más </w:t>
      </w:r>
      <w:r w:rsidR="00F9171F">
        <w:rPr>
          <w:rFonts w:ascii="Times New Roman" w:eastAsia="Calibri" w:hAnsi="Times New Roman" w:cs="Times New Roman"/>
          <w:sz w:val="24"/>
          <w:szCs w:val="24"/>
          <w:lang w:val="es-ES"/>
        </w:rPr>
        <w:t>significativos</w:t>
      </w:r>
      <w:r w:rsidR="005232CA">
        <w:rPr>
          <w:rFonts w:ascii="Times New Roman" w:eastAsia="Calibri" w:hAnsi="Times New Roman" w:cs="Times New Roman"/>
          <w:sz w:val="24"/>
          <w:szCs w:val="24"/>
          <w:lang w:val="es-ES"/>
        </w:rPr>
        <w:t xml:space="preserve">, </w:t>
      </w:r>
      <w:r w:rsidR="00FF1A78">
        <w:rPr>
          <w:rFonts w:ascii="Times New Roman" w:eastAsia="Calibri" w:hAnsi="Times New Roman" w:cs="Times New Roman"/>
          <w:sz w:val="24"/>
          <w:szCs w:val="24"/>
          <w:lang w:val="es-ES"/>
        </w:rPr>
        <w:t xml:space="preserve">cabe destacar que durante el 2008 </w:t>
      </w:r>
      <w:r w:rsidR="005232CA">
        <w:rPr>
          <w:rFonts w:ascii="Times New Roman" w:eastAsia="Calibri" w:hAnsi="Times New Roman" w:cs="Times New Roman"/>
          <w:sz w:val="24"/>
          <w:szCs w:val="24"/>
          <w:lang w:val="es-ES"/>
        </w:rPr>
        <w:t>se llevaron a cabo lo</w:t>
      </w:r>
      <w:r w:rsidR="00F9171F">
        <w:rPr>
          <w:rFonts w:ascii="Times New Roman" w:eastAsia="Calibri" w:hAnsi="Times New Roman" w:cs="Times New Roman"/>
          <w:sz w:val="24"/>
          <w:szCs w:val="24"/>
          <w:lang w:val="es-ES"/>
        </w:rPr>
        <w:t xml:space="preserve">s talleres para realizar el OTBN, que debía realizarse con participación de aquellos afectados o interesados por la regulación de los usos del bosque nativos. Asimismo, la ley establecía como uno de los </w:t>
      </w:r>
      <w:r w:rsidR="00DA006F">
        <w:rPr>
          <w:rFonts w:ascii="Times New Roman" w:eastAsia="Calibri" w:hAnsi="Times New Roman" w:cs="Times New Roman"/>
          <w:sz w:val="24"/>
          <w:szCs w:val="24"/>
          <w:lang w:val="es-ES"/>
        </w:rPr>
        <w:t>criterios</w:t>
      </w:r>
      <w:r w:rsidR="00F9171F">
        <w:rPr>
          <w:rFonts w:ascii="Times New Roman" w:eastAsia="Calibri" w:hAnsi="Times New Roman" w:cs="Times New Roman"/>
          <w:sz w:val="24"/>
          <w:szCs w:val="24"/>
          <w:lang w:val="es-ES"/>
        </w:rPr>
        <w:t xml:space="preserve"> de elaboración de dicho ordenamiento</w:t>
      </w:r>
      <w:r w:rsidR="00DA006F">
        <w:rPr>
          <w:rFonts w:ascii="Times New Roman" w:eastAsia="Calibri" w:hAnsi="Times New Roman" w:cs="Times New Roman"/>
          <w:sz w:val="24"/>
          <w:szCs w:val="24"/>
          <w:lang w:val="es-ES"/>
        </w:rPr>
        <w:t xml:space="preserve"> el “</w:t>
      </w:r>
      <w:r w:rsidR="00DA006F" w:rsidRPr="00DA006F">
        <w:rPr>
          <w:rFonts w:ascii="Times New Roman" w:eastAsia="Calibri" w:hAnsi="Times New Roman" w:cs="Times New Roman"/>
          <w:sz w:val="24"/>
          <w:szCs w:val="24"/>
        </w:rPr>
        <w:t xml:space="preserve">valor que las Comunidades Indígenas y </w:t>
      </w:r>
      <w:r w:rsidR="00DA006F" w:rsidRPr="00DA006F">
        <w:rPr>
          <w:rFonts w:ascii="Times New Roman" w:eastAsia="Calibri" w:hAnsi="Times New Roman" w:cs="Times New Roman"/>
          <w:sz w:val="24"/>
          <w:szCs w:val="24"/>
        </w:rPr>
        <w:lastRenderedPageBreak/>
        <w:t>Campesinas dan a las áreas boscosas o sus áreas colindantes y el uso que pueden hacer de sus recursos naturales a los fines de su supervivencia y el mantenimiento de su cultura</w:t>
      </w:r>
      <w:r w:rsidR="00DA006F">
        <w:rPr>
          <w:rFonts w:ascii="Times New Roman" w:eastAsia="Calibri" w:hAnsi="Times New Roman" w:cs="Times New Roman"/>
          <w:sz w:val="24"/>
          <w:szCs w:val="24"/>
        </w:rPr>
        <w:t>” y agregaba que “e</w:t>
      </w:r>
      <w:r w:rsidR="00DA006F" w:rsidRPr="00DA006F">
        <w:rPr>
          <w:rFonts w:ascii="Times New Roman" w:eastAsia="Calibri" w:hAnsi="Times New Roman" w:cs="Times New Roman"/>
          <w:sz w:val="24"/>
          <w:szCs w:val="24"/>
        </w:rPr>
        <w:t>n el caso de las comunidades indígenas y dentro del marco de la ley 26.160, se deberá actuar de acuerdo a lo establecido en la ley 24.071</w:t>
      </w:r>
      <w:r w:rsidR="00DA006F">
        <w:rPr>
          <w:rFonts w:ascii="Times New Roman" w:eastAsia="Calibri" w:hAnsi="Times New Roman" w:cs="Times New Roman"/>
          <w:sz w:val="24"/>
          <w:szCs w:val="24"/>
        </w:rPr>
        <w:t>”</w:t>
      </w:r>
      <w:r w:rsidR="00DA006F" w:rsidRPr="00DA006F">
        <w:rPr>
          <w:rFonts w:ascii="Times New Roman" w:eastAsia="Calibri" w:hAnsi="Times New Roman" w:cs="Times New Roman"/>
          <w:sz w:val="24"/>
          <w:szCs w:val="24"/>
        </w:rPr>
        <w:t xml:space="preserve"> (Anexo Ley 26.331)</w:t>
      </w:r>
      <w:r w:rsidR="00DA006F">
        <w:rPr>
          <w:rFonts w:ascii="Times New Roman" w:eastAsia="Calibri" w:hAnsi="Times New Roman" w:cs="Times New Roman"/>
          <w:sz w:val="24"/>
          <w:szCs w:val="24"/>
        </w:rPr>
        <w:t xml:space="preserve">. </w:t>
      </w:r>
      <w:r w:rsidR="00F9171F">
        <w:rPr>
          <w:rFonts w:ascii="Times New Roman" w:eastAsia="Calibri" w:hAnsi="Times New Roman" w:cs="Times New Roman"/>
          <w:sz w:val="24"/>
          <w:szCs w:val="24"/>
          <w:lang w:val="es-ES"/>
        </w:rPr>
        <w:t xml:space="preserve"> </w:t>
      </w:r>
    </w:p>
    <w:p w14:paraId="11FC4A25" w14:textId="77777777" w:rsidR="007C64BA" w:rsidRDefault="00DA006F" w:rsidP="00C20901">
      <w:pPr>
        <w:spacing w:line="360" w:lineRule="auto"/>
        <w:jc w:val="both"/>
        <w:rPr>
          <w:rFonts w:ascii="Times New Roman" w:hAnsi="Times New Roman" w:cs="Times New Roman"/>
          <w:sz w:val="24"/>
          <w:szCs w:val="24"/>
          <w:lang w:val="es-ES"/>
        </w:rPr>
      </w:pPr>
      <w:r w:rsidRPr="00FA7546">
        <w:rPr>
          <w:rFonts w:ascii="Times New Roman" w:hAnsi="Times New Roman" w:cs="Times New Roman"/>
          <w:sz w:val="24"/>
          <w:szCs w:val="24"/>
        </w:rPr>
        <w:t>La Ley 26.160</w:t>
      </w:r>
      <w:r w:rsidRPr="00FA7546">
        <w:rPr>
          <w:rFonts w:ascii="Times New Roman" w:hAnsi="Times New Roman" w:cs="Times New Roman"/>
          <w:sz w:val="24"/>
          <w:szCs w:val="24"/>
          <w:vertAlign w:val="superscript"/>
        </w:rPr>
        <w:footnoteReference w:id="8"/>
      </w:r>
      <w:r w:rsidRPr="00FA7546">
        <w:rPr>
          <w:rFonts w:ascii="Times New Roman" w:hAnsi="Times New Roman" w:cs="Times New Roman"/>
          <w:sz w:val="24"/>
          <w:szCs w:val="24"/>
        </w:rPr>
        <w:t xml:space="preserve"> declara la emergencia en materia de posesión y propiedad de las tierras que tradicionalmente ocupan las comunidades indígenas</w:t>
      </w:r>
      <w:r w:rsidR="008A33FB">
        <w:rPr>
          <w:rFonts w:ascii="Times New Roman" w:hAnsi="Times New Roman" w:cs="Times New Roman"/>
          <w:sz w:val="24"/>
          <w:szCs w:val="24"/>
        </w:rPr>
        <w:t xml:space="preserve">, </w:t>
      </w:r>
      <w:r w:rsidRPr="00FA7546">
        <w:rPr>
          <w:rFonts w:ascii="Times New Roman" w:hAnsi="Times New Roman" w:cs="Times New Roman"/>
          <w:sz w:val="24"/>
          <w:szCs w:val="24"/>
        </w:rPr>
        <w:t xml:space="preserve">establece que el Instituto Nacional de Asuntos Indígenas, </w:t>
      </w:r>
      <w:r w:rsidRPr="00FA7546">
        <w:rPr>
          <w:rFonts w:ascii="Times New Roman" w:hAnsi="Times New Roman" w:cs="Times New Roman"/>
          <w:sz w:val="24"/>
          <w:szCs w:val="24"/>
          <w:lang w:val="es-ES"/>
        </w:rPr>
        <w:t>junto con las autoridades provinciales si las hubiere, debe rea</w:t>
      </w:r>
      <w:r>
        <w:rPr>
          <w:rFonts w:ascii="Times New Roman" w:hAnsi="Times New Roman" w:cs="Times New Roman"/>
          <w:sz w:val="24"/>
          <w:szCs w:val="24"/>
          <w:lang w:val="es-ES"/>
        </w:rPr>
        <w:t>lizar el “relevamiento técnico –</w:t>
      </w:r>
      <w:r w:rsidRPr="00FA7546">
        <w:rPr>
          <w:rFonts w:ascii="Times New Roman" w:hAnsi="Times New Roman" w:cs="Times New Roman"/>
          <w:sz w:val="24"/>
          <w:szCs w:val="24"/>
          <w:lang w:val="es-ES"/>
        </w:rPr>
        <w:t>jurídico</w:t>
      </w:r>
      <w:r>
        <w:rPr>
          <w:rFonts w:ascii="Times New Roman" w:hAnsi="Times New Roman" w:cs="Times New Roman"/>
          <w:sz w:val="24"/>
          <w:szCs w:val="24"/>
          <w:lang w:val="es-ES"/>
        </w:rPr>
        <w:t>–</w:t>
      </w:r>
      <w:r w:rsidRPr="00FA7546">
        <w:rPr>
          <w:rFonts w:ascii="Times New Roman" w:hAnsi="Times New Roman" w:cs="Times New Roman"/>
          <w:sz w:val="24"/>
          <w:szCs w:val="24"/>
          <w:lang w:val="es-ES"/>
        </w:rPr>
        <w:t xml:space="preserve"> catastral de la situación dominial de las tierras ocupadas por las comunidades indígenas” (art 3°) y suspende “la ejecución de sentencias, actos procesales o administrativos, cuyo objeto sea el desalojo o desocupación de las tierras” (art. 2°).</w:t>
      </w:r>
    </w:p>
    <w:p w14:paraId="16B538E6" w14:textId="77777777" w:rsidR="00764B4A" w:rsidRDefault="007C64BA" w:rsidP="00C20901">
      <w:pPr>
        <w:spacing w:line="360" w:lineRule="auto"/>
        <w:jc w:val="both"/>
        <w:rPr>
          <w:rFonts w:ascii="Times New Roman" w:eastAsia="Calibri" w:hAnsi="Times New Roman" w:cs="Times New Roman"/>
          <w:sz w:val="24"/>
          <w:szCs w:val="24"/>
          <w:lang w:val="es-ES"/>
        </w:rPr>
      </w:pPr>
      <w:r>
        <w:rPr>
          <w:rFonts w:ascii="Times New Roman" w:hAnsi="Times New Roman" w:cs="Times New Roman"/>
          <w:sz w:val="24"/>
          <w:szCs w:val="24"/>
          <w:lang w:val="es-ES"/>
        </w:rPr>
        <w:t xml:space="preserve">La gran contradicción en esta vinculación entre  </w:t>
      </w:r>
      <w:r w:rsidR="00FF1A78">
        <w:rPr>
          <w:rFonts w:ascii="Times New Roman" w:hAnsi="Times New Roman" w:cs="Times New Roman"/>
          <w:sz w:val="24"/>
          <w:szCs w:val="24"/>
          <w:lang w:val="es-ES"/>
        </w:rPr>
        <w:t>la</w:t>
      </w:r>
      <w:r>
        <w:rPr>
          <w:rFonts w:ascii="Times New Roman" w:hAnsi="Times New Roman" w:cs="Times New Roman"/>
          <w:sz w:val="24"/>
          <w:szCs w:val="24"/>
          <w:lang w:val="es-ES"/>
        </w:rPr>
        <w:t xml:space="preserve"> </w:t>
      </w:r>
      <w:r w:rsidR="00FF1A78">
        <w:rPr>
          <w:rFonts w:ascii="Times New Roman" w:hAnsi="Times New Roman" w:cs="Times New Roman"/>
          <w:sz w:val="24"/>
          <w:szCs w:val="24"/>
          <w:lang w:val="es-ES"/>
        </w:rPr>
        <w:t>l</w:t>
      </w:r>
      <w:r w:rsidR="00DA006F">
        <w:rPr>
          <w:rFonts w:ascii="Times New Roman" w:hAnsi="Times New Roman" w:cs="Times New Roman"/>
          <w:sz w:val="24"/>
          <w:szCs w:val="24"/>
          <w:lang w:val="es-ES"/>
        </w:rPr>
        <w:t xml:space="preserve">ey </w:t>
      </w:r>
      <w:r w:rsidR="00FF1A78">
        <w:rPr>
          <w:rFonts w:ascii="Times New Roman" w:hAnsi="Times New Roman" w:cs="Times New Roman"/>
          <w:sz w:val="24"/>
          <w:szCs w:val="24"/>
          <w:lang w:val="es-ES"/>
        </w:rPr>
        <w:t xml:space="preserve">26.160 </w:t>
      </w:r>
      <w:r>
        <w:rPr>
          <w:rFonts w:ascii="Times New Roman" w:hAnsi="Times New Roman" w:cs="Times New Roman"/>
          <w:sz w:val="24"/>
          <w:szCs w:val="24"/>
          <w:lang w:val="es-ES"/>
        </w:rPr>
        <w:t>y</w:t>
      </w:r>
      <w:r w:rsidR="00DA006F">
        <w:rPr>
          <w:rFonts w:ascii="Times New Roman" w:hAnsi="Times New Roman" w:cs="Times New Roman"/>
          <w:sz w:val="24"/>
          <w:szCs w:val="24"/>
          <w:lang w:val="es-ES"/>
        </w:rPr>
        <w:t xml:space="preserve"> la Ley de Bosques</w:t>
      </w:r>
      <w:r w:rsidR="00DA006F">
        <w:rPr>
          <w:rFonts w:ascii="Times New Roman" w:hAnsi="Times New Roman" w:cs="Times New Roman"/>
          <w:sz w:val="24"/>
          <w:szCs w:val="24"/>
        </w:rPr>
        <w:t>, según me comentó la entonces secretaria de política ambiental de la autoridad de aplicación de la ley en la provincia</w:t>
      </w:r>
      <w:r w:rsidR="00764B4A">
        <w:rPr>
          <w:rFonts w:ascii="Times New Roman" w:hAnsi="Times New Roman" w:cs="Times New Roman"/>
          <w:sz w:val="24"/>
          <w:szCs w:val="24"/>
        </w:rPr>
        <w:t>,</w:t>
      </w:r>
      <w:r w:rsidR="00DA006F">
        <w:rPr>
          <w:rFonts w:ascii="Times New Roman" w:hAnsi="Times New Roman" w:cs="Times New Roman"/>
          <w:sz w:val="24"/>
          <w:szCs w:val="24"/>
        </w:rPr>
        <w:t xml:space="preserve"> es que</w:t>
      </w:r>
      <w:r w:rsidR="00764B4A">
        <w:rPr>
          <w:rFonts w:ascii="Times New Roman" w:hAnsi="Times New Roman" w:cs="Times New Roman"/>
          <w:sz w:val="24"/>
          <w:szCs w:val="24"/>
        </w:rPr>
        <w:t xml:space="preserve"> si bien la </w:t>
      </w:r>
      <w:r>
        <w:rPr>
          <w:rFonts w:ascii="Times New Roman" w:hAnsi="Times New Roman" w:cs="Times New Roman"/>
          <w:sz w:val="24"/>
          <w:szCs w:val="24"/>
        </w:rPr>
        <w:t>primera</w:t>
      </w:r>
      <w:r w:rsidR="00764B4A">
        <w:rPr>
          <w:rFonts w:ascii="Times New Roman" w:hAnsi="Times New Roman" w:cs="Times New Roman"/>
          <w:sz w:val="24"/>
          <w:szCs w:val="24"/>
        </w:rPr>
        <w:t xml:space="preserve"> fue sancionada en el 2006, Salta fijó el inicio del relevamiento para el 22 de diciembre del 2008, fecha para la cual ya habría finalizado el OTBN. </w:t>
      </w:r>
      <w:r w:rsidR="00764B4A" w:rsidRPr="00FA7546">
        <w:rPr>
          <w:rFonts w:ascii="Times New Roman" w:eastAsia="Calibri" w:hAnsi="Times New Roman" w:cs="Times New Roman"/>
          <w:sz w:val="24"/>
          <w:szCs w:val="24"/>
          <w:lang w:val="es-ES"/>
        </w:rPr>
        <w:t xml:space="preserve">Como surge de conversaciones que mantuve con funcionarios del </w:t>
      </w:r>
      <w:r w:rsidR="00764B4A">
        <w:rPr>
          <w:rFonts w:ascii="Times New Roman" w:eastAsia="Calibri" w:hAnsi="Times New Roman" w:cs="Times New Roman"/>
          <w:sz w:val="24"/>
          <w:szCs w:val="24"/>
          <w:lang w:val="es-ES"/>
        </w:rPr>
        <w:t>Programa de Consulta y Participación</w:t>
      </w:r>
      <w:r w:rsidR="00FF1A78">
        <w:rPr>
          <w:rFonts w:ascii="Times New Roman" w:eastAsia="Calibri" w:hAnsi="Times New Roman" w:cs="Times New Roman"/>
          <w:sz w:val="24"/>
          <w:szCs w:val="24"/>
          <w:lang w:val="es-ES"/>
        </w:rPr>
        <w:t xml:space="preserve"> que llevó a cabo los talleres</w:t>
      </w:r>
      <w:r w:rsidR="00D81380">
        <w:rPr>
          <w:rFonts w:ascii="Times New Roman" w:eastAsia="Calibri" w:hAnsi="Times New Roman" w:cs="Times New Roman"/>
          <w:sz w:val="24"/>
          <w:szCs w:val="24"/>
          <w:lang w:val="es-ES"/>
        </w:rPr>
        <w:t>,</w:t>
      </w:r>
      <w:r w:rsidR="00FF1A78">
        <w:rPr>
          <w:rFonts w:ascii="Times New Roman" w:eastAsia="Calibri" w:hAnsi="Times New Roman" w:cs="Times New Roman"/>
          <w:sz w:val="24"/>
          <w:szCs w:val="24"/>
          <w:lang w:val="es-ES"/>
        </w:rPr>
        <w:t xml:space="preserve"> así como</w:t>
      </w:r>
      <w:r w:rsidR="00764B4A" w:rsidRPr="00FA7546">
        <w:rPr>
          <w:rFonts w:ascii="Times New Roman" w:eastAsia="Calibri" w:hAnsi="Times New Roman" w:cs="Times New Roman"/>
          <w:sz w:val="24"/>
          <w:szCs w:val="24"/>
          <w:lang w:val="es-ES"/>
        </w:rPr>
        <w:t xml:space="preserve"> de la </w:t>
      </w:r>
      <w:r w:rsidR="00764B4A" w:rsidRPr="00332668">
        <w:rPr>
          <w:rFonts w:ascii="Times New Roman" w:eastAsia="Calibri" w:hAnsi="Times New Roman" w:cs="Times New Roman"/>
          <w:sz w:val="24"/>
          <w:szCs w:val="24"/>
          <w:lang w:val="es-ES"/>
        </w:rPr>
        <w:t>S</w:t>
      </w:r>
      <w:r w:rsidR="00595C0C">
        <w:rPr>
          <w:rFonts w:ascii="Times New Roman" w:eastAsia="Calibri" w:hAnsi="Times New Roman" w:cs="Times New Roman"/>
          <w:sz w:val="24"/>
          <w:szCs w:val="24"/>
          <w:lang w:val="es-ES"/>
        </w:rPr>
        <w:t>AyDS</w:t>
      </w:r>
      <w:r w:rsidR="00764B4A" w:rsidRPr="00332668">
        <w:rPr>
          <w:rFonts w:ascii="Times New Roman" w:eastAsia="Calibri" w:hAnsi="Times New Roman" w:cs="Times New Roman"/>
          <w:sz w:val="24"/>
          <w:szCs w:val="24"/>
          <w:lang w:val="es-ES"/>
        </w:rPr>
        <w:t xml:space="preserve"> y del In</w:t>
      </w:r>
      <w:r w:rsidR="00764B4A">
        <w:rPr>
          <w:rFonts w:ascii="Times New Roman" w:eastAsia="Calibri" w:hAnsi="Times New Roman" w:cs="Times New Roman"/>
          <w:sz w:val="24"/>
          <w:szCs w:val="24"/>
          <w:lang w:val="es-ES"/>
        </w:rPr>
        <w:t>s</w:t>
      </w:r>
      <w:r w:rsidR="00764B4A" w:rsidRPr="00332668">
        <w:rPr>
          <w:rFonts w:ascii="Times New Roman" w:eastAsia="Calibri" w:hAnsi="Times New Roman" w:cs="Times New Roman"/>
          <w:sz w:val="24"/>
          <w:szCs w:val="24"/>
          <w:lang w:val="es-ES"/>
        </w:rPr>
        <w:t>tituto Nacional de Asuntos Indígenas, no había al momento de categorizar los bosques nativos información precisa y oficial acerca de cuáles eran los territorios de</w:t>
      </w:r>
      <w:r w:rsidR="00764B4A" w:rsidRPr="00FA7546">
        <w:rPr>
          <w:rFonts w:ascii="Times New Roman" w:eastAsia="Calibri" w:hAnsi="Times New Roman" w:cs="Times New Roman"/>
          <w:sz w:val="24"/>
          <w:szCs w:val="24"/>
          <w:lang w:val="es-ES"/>
        </w:rPr>
        <w:t xml:space="preserve"> ocupación ef</w:t>
      </w:r>
      <w:r w:rsidR="00764B4A" w:rsidRPr="00546694">
        <w:rPr>
          <w:rFonts w:ascii="Times New Roman" w:eastAsia="Calibri" w:hAnsi="Times New Roman" w:cs="Times New Roman"/>
          <w:sz w:val="24"/>
          <w:szCs w:val="24"/>
          <w:lang w:val="es-ES"/>
        </w:rPr>
        <w:t>ectiva por parte de las comunidades indígenas, por lo cual, toda la relación que establece la Ley de Bosques con la ley 26.160 resulta inoperante.</w:t>
      </w:r>
      <w:r w:rsidR="00DA006F">
        <w:rPr>
          <w:rFonts w:ascii="Times New Roman" w:hAnsi="Times New Roman" w:cs="Times New Roman"/>
          <w:sz w:val="24"/>
          <w:szCs w:val="24"/>
        </w:rPr>
        <w:t xml:space="preserve"> </w:t>
      </w:r>
      <w:r w:rsidR="00764B4A" w:rsidRPr="00FA7546">
        <w:rPr>
          <w:rFonts w:ascii="Times New Roman" w:eastAsia="Calibri" w:hAnsi="Times New Roman" w:cs="Times New Roman"/>
          <w:sz w:val="24"/>
          <w:szCs w:val="24"/>
          <w:lang w:val="es-ES"/>
        </w:rPr>
        <w:t xml:space="preserve">Al no contar con información oficial sobre los territorios ocupados por comunidades indígenas y/o campesinas, los talleres </w:t>
      </w:r>
      <w:r w:rsidR="00FF1A78">
        <w:rPr>
          <w:rFonts w:ascii="Times New Roman" w:eastAsia="Calibri" w:hAnsi="Times New Roman" w:cs="Times New Roman"/>
          <w:sz w:val="24"/>
          <w:szCs w:val="24"/>
          <w:lang w:val="es-ES"/>
        </w:rPr>
        <w:t xml:space="preserve">fueron </w:t>
      </w:r>
      <w:r w:rsidR="00764B4A" w:rsidRPr="00FA7546">
        <w:rPr>
          <w:rFonts w:ascii="Times New Roman" w:eastAsia="Calibri" w:hAnsi="Times New Roman" w:cs="Times New Roman"/>
          <w:sz w:val="24"/>
          <w:szCs w:val="24"/>
          <w:lang w:val="es-ES"/>
        </w:rPr>
        <w:t>la forma de hacer ese relevamiento, de obtener esa información que todavía no existía.</w:t>
      </w:r>
    </w:p>
    <w:p w14:paraId="41547FA9" w14:textId="77777777" w:rsidR="00FE0600" w:rsidRDefault="00764B4A" w:rsidP="00C20901">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efecto, según me contó una funcionaria que trabajó en dichos talleres, las comunidades empezaron a ver en </w:t>
      </w:r>
      <w:r w:rsidR="008A33FB">
        <w:rPr>
          <w:rFonts w:ascii="Times New Roman" w:eastAsia="Calibri" w:hAnsi="Times New Roman" w:cs="Times New Roman"/>
          <w:sz w:val="24"/>
          <w:szCs w:val="24"/>
          <w:lang w:val="es-ES"/>
        </w:rPr>
        <w:t>el OTBN</w:t>
      </w:r>
      <w:r>
        <w:rPr>
          <w:rFonts w:ascii="Times New Roman" w:eastAsia="Calibri" w:hAnsi="Times New Roman" w:cs="Times New Roman"/>
          <w:sz w:val="24"/>
          <w:szCs w:val="24"/>
          <w:lang w:val="es-ES"/>
        </w:rPr>
        <w:t xml:space="preserve"> una herramienta para defender sus territorios, buscando que</w:t>
      </w:r>
      <w:r w:rsidR="00FF1A78">
        <w:rPr>
          <w:rFonts w:ascii="Times New Roman" w:eastAsia="Calibri" w:hAnsi="Times New Roman" w:cs="Times New Roman"/>
          <w:sz w:val="24"/>
          <w:szCs w:val="24"/>
          <w:lang w:val="es-ES"/>
        </w:rPr>
        <w:t xml:space="preserve"> sus territorios</w:t>
      </w:r>
      <w:r>
        <w:rPr>
          <w:rFonts w:ascii="Times New Roman" w:eastAsia="Calibri" w:hAnsi="Times New Roman" w:cs="Times New Roman"/>
          <w:sz w:val="24"/>
          <w:szCs w:val="24"/>
          <w:lang w:val="es-ES"/>
        </w:rPr>
        <w:t xml:space="preserve"> quedaran bajo </w:t>
      </w:r>
      <w:r w:rsidR="00FE0600">
        <w:rPr>
          <w:rFonts w:ascii="Times New Roman" w:eastAsia="Calibri" w:hAnsi="Times New Roman" w:cs="Times New Roman"/>
          <w:sz w:val="24"/>
          <w:szCs w:val="24"/>
          <w:lang w:val="es-ES"/>
        </w:rPr>
        <w:t>las categ</w:t>
      </w:r>
      <w:r>
        <w:rPr>
          <w:rFonts w:ascii="Times New Roman" w:eastAsia="Calibri" w:hAnsi="Times New Roman" w:cs="Times New Roman"/>
          <w:sz w:val="24"/>
          <w:szCs w:val="24"/>
          <w:lang w:val="es-ES"/>
        </w:rPr>
        <w:t>o</w:t>
      </w:r>
      <w:r w:rsidR="00FE0600">
        <w:rPr>
          <w:rFonts w:ascii="Times New Roman" w:eastAsia="Calibri" w:hAnsi="Times New Roman" w:cs="Times New Roman"/>
          <w:sz w:val="24"/>
          <w:szCs w:val="24"/>
          <w:lang w:val="es-ES"/>
        </w:rPr>
        <w:t>r</w:t>
      </w:r>
      <w:r>
        <w:rPr>
          <w:rFonts w:ascii="Times New Roman" w:eastAsia="Calibri" w:hAnsi="Times New Roman" w:cs="Times New Roman"/>
          <w:sz w:val="24"/>
          <w:szCs w:val="24"/>
          <w:lang w:val="es-ES"/>
        </w:rPr>
        <w:t xml:space="preserve">ías rojas o </w:t>
      </w:r>
      <w:r w:rsidR="00FE0600">
        <w:rPr>
          <w:rFonts w:ascii="Times New Roman" w:eastAsia="Calibri" w:hAnsi="Times New Roman" w:cs="Times New Roman"/>
          <w:sz w:val="24"/>
          <w:szCs w:val="24"/>
          <w:lang w:val="es-ES"/>
        </w:rPr>
        <w:t>amarillas de la ley de bosques y así desincentivar el interés que los sectores agrícola-ganaderos podrían</w:t>
      </w:r>
      <w:r w:rsidR="00FF1A78">
        <w:rPr>
          <w:rFonts w:ascii="Times New Roman" w:eastAsia="Calibri" w:hAnsi="Times New Roman" w:cs="Times New Roman"/>
          <w:sz w:val="24"/>
          <w:szCs w:val="24"/>
          <w:lang w:val="es-ES"/>
        </w:rPr>
        <w:t xml:space="preserve"> tener</w:t>
      </w:r>
      <w:r w:rsidR="00FE0600">
        <w:rPr>
          <w:rFonts w:ascii="Times New Roman" w:eastAsia="Calibri" w:hAnsi="Times New Roman" w:cs="Times New Roman"/>
          <w:sz w:val="24"/>
          <w:szCs w:val="24"/>
          <w:lang w:val="es-ES"/>
        </w:rPr>
        <w:t xml:space="preserve"> en apropiarse de </w:t>
      </w:r>
      <w:r w:rsidR="00FF1A78">
        <w:rPr>
          <w:rFonts w:ascii="Times New Roman" w:eastAsia="Calibri" w:hAnsi="Times New Roman" w:cs="Times New Roman"/>
          <w:sz w:val="24"/>
          <w:szCs w:val="24"/>
          <w:lang w:val="es-ES"/>
        </w:rPr>
        <w:t>los mismos</w:t>
      </w:r>
      <w:r w:rsidR="00FE0600">
        <w:rPr>
          <w:rFonts w:ascii="Times New Roman" w:eastAsia="Calibri" w:hAnsi="Times New Roman" w:cs="Times New Roman"/>
          <w:sz w:val="24"/>
          <w:szCs w:val="24"/>
          <w:lang w:val="es-ES"/>
        </w:rPr>
        <w:t xml:space="preserve">. Según me contó la funcionaria, esto trajo “enfrentamientos feroces” con los terratenientes, </w:t>
      </w:r>
      <w:r w:rsidR="00FE0600" w:rsidRPr="006D1B8F">
        <w:rPr>
          <w:rFonts w:ascii="Times New Roman" w:eastAsia="Calibri" w:hAnsi="Times New Roman" w:cs="Times New Roman"/>
          <w:sz w:val="24"/>
          <w:szCs w:val="24"/>
          <w:lang w:val="es-ES"/>
        </w:rPr>
        <w:t xml:space="preserve">quienes recurrían a argumentos como “para qué quieren la tierra, si no hacen </w:t>
      </w:r>
      <w:r w:rsidR="00FE0600" w:rsidRPr="006D1B8F">
        <w:rPr>
          <w:rFonts w:ascii="Times New Roman" w:eastAsia="Calibri" w:hAnsi="Times New Roman" w:cs="Times New Roman"/>
          <w:sz w:val="24"/>
          <w:szCs w:val="24"/>
          <w:lang w:val="es-ES"/>
        </w:rPr>
        <w:lastRenderedPageBreak/>
        <w:t>nada con ella”</w:t>
      </w:r>
      <w:r w:rsidR="00FE0600">
        <w:rPr>
          <w:rFonts w:ascii="Times New Roman" w:eastAsia="Calibri" w:hAnsi="Times New Roman" w:cs="Times New Roman"/>
          <w:sz w:val="24"/>
          <w:szCs w:val="24"/>
          <w:lang w:val="es-ES"/>
        </w:rPr>
        <w:t>, demostrando una racionalidad productivista, que no concibe al territorio como lugar de vida.</w:t>
      </w:r>
    </w:p>
    <w:p w14:paraId="61B24165" w14:textId="77777777" w:rsidR="003C64E3" w:rsidRDefault="003C64E3" w:rsidP="00C20901">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Resulta que l</w:t>
      </w:r>
      <w:r w:rsidR="00FE0600">
        <w:rPr>
          <w:rFonts w:ascii="Times New Roman" w:eastAsia="Calibri" w:hAnsi="Times New Roman" w:cs="Times New Roman"/>
          <w:sz w:val="24"/>
          <w:szCs w:val="24"/>
          <w:lang w:val="es-ES"/>
        </w:rPr>
        <w:t xml:space="preserve">a ley 7543, </w:t>
      </w:r>
      <w:r w:rsidR="008A33FB">
        <w:rPr>
          <w:rFonts w:ascii="Times New Roman" w:eastAsia="Calibri" w:hAnsi="Times New Roman" w:cs="Times New Roman"/>
          <w:sz w:val="24"/>
          <w:szCs w:val="24"/>
          <w:lang w:val="es-ES"/>
        </w:rPr>
        <w:t xml:space="preserve">fue sancionada </w:t>
      </w:r>
      <w:r>
        <w:rPr>
          <w:rFonts w:ascii="Times New Roman" w:eastAsia="Calibri" w:hAnsi="Times New Roman" w:cs="Times New Roman"/>
          <w:sz w:val="24"/>
          <w:szCs w:val="24"/>
          <w:lang w:val="es-ES"/>
        </w:rPr>
        <w:t xml:space="preserve">sin la cartografía del OTBN. Es decir, sin el trabajo de los 36 talleres llevados a cabo con las comunidades y que cumplía con la garantía de participación social que la ley nacional exigía. </w:t>
      </w:r>
      <w:r w:rsidR="008A33FB">
        <w:rPr>
          <w:rFonts w:ascii="Times New Roman" w:eastAsia="Calibri" w:hAnsi="Times New Roman" w:cs="Times New Roman"/>
          <w:sz w:val="24"/>
          <w:szCs w:val="24"/>
          <w:lang w:val="es-ES"/>
        </w:rPr>
        <w:t>Esto explica la presentación de la demanda al día siguiente de su sanción.</w:t>
      </w:r>
    </w:p>
    <w:p w14:paraId="0E83B914" w14:textId="77777777" w:rsidR="003C64E3" w:rsidRPr="00EB73A2" w:rsidRDefault="003C64E3" w:rsidP="00C20901">
      <w:pPr>
        <w:spacing w:line="360" w:lineRule="auto"/>
        <w:jc w:val="both"/>
        <w:rPr>
          <w:rFonts w:ascii="Times New Roman" w:eastAsia="Times New Roman" w:hAnsi="Times New Roman" w:cs="Times New Roman"/>
          <w:b/>
          <w:bCs/>
          <w:sz w:val="24"/>
          <w:szCs w:val="24"/>
          <w:lang w:eastAsia="es-ES"/>
        </w:rPr>
      </w:pPr>
      <w:r w:rsidRPr="00EB73A2">
        <w:rPr>
          <w:rFonts w:ascii="Times New Roman" w:eastAsia="Times New Roman" w:hAnsi="Times New Roman" w:cs="Times New Roman"/>
          <w:b/>
          <w:bCs/>
          <w:sz w:val="24"/>
          <w:szCs w:val="24"/>
          <w:lang w:eastAsia="es-ES"/>
        </w:rPr>
        <w:t>El interés general: entre derechos individuales, colectivos y difusos</w:t>
      </w:r>
    </w:p>
    <w:p w14:paraId="6E5FF1A1" w14:textId="77777777" w:rsidR="003C64E3" w:rsidRDefault="00595C0C" w:rsidP="00C20901">
      <w:pPr>
        <w:spacing w:line="360" w:lineRule="auto"/>
        <w:jc w:val="both"/>
        <w:rPr>
          <w:rFonts w:ascii="Times New Roman" w:hAnsi="Times New Roman" w:cs="Times New Roman"/>
          <w:sz w:val="24"/>
          <w:szCs w:val="24"/>
          <w:lang w:val="es-ES"/>
        </w:rPr>
      </w:pPr>
      <w:r>
        <w:rPr>
          <w:rFonts w:ascii="Times New Roman" w:eastAsia="Calibri" w:hAnsi="Times New Roman" w:cs="Times New Roman"/>
          <w:sz w:val="24"/>
          <w:szCs w:val="24"/>
          <w:lang w:val="es-ES"/>
        </w:rPr>
        <w:t>E</w:t>
      </w:r>
      <w:r w:rsidR="003C64E3">
        <w:rPr>
          <w:rFonts w:ascii="Times New Roman" w:eastAsia="Calibri" w:hAnsi="Times New Roman" w:cs="Times New Roman"/>
          <w:sz w:val="24"/>
          <w:szCs w:val="24"/>
          <w:lang w:val="es-ES"/>
        </w:rPr>
        <w:t xml:space="preserve">l conflicto no </w:t>
      </w:r>
      <w:r>
        <w:rPr>
          <w:rFonts w:ascii="Times New Roman" w:eastAsia="Calibri" w:hAnsi="Times New Roman" w:cs="Times New Roman"/>
          <w:sz w:val="24"/>
          <w:szCs w:val="24"/>
          <w:lang w:val="es-ES"/>
        </w:rPr>
        <w:t>fue</w:t>
      </w:r>
      <w:r w:rsidR="003C64E3">
        <w:rPr>
          <w:rFonts w:ascii="Times New Roman" w:eastAsia="Calibri" w:hAnsi="Times New Roman" w:cs="Times New Roman"/>
          <w:sz w:val="24"/>
          <w:szCs w:val="24"/>
          <w:lang w:val="es-ES"/>
        </w:rPr>
        <w:t xml:space="preserve"> presentado en estos términos en la causa judicial. La estrategia de los letrados que representaron a las comunidades consistió en recurrir al </w:t>
      </w:r>
      <w:r w:rsidR="00647144">
        <w:rPr>
          <w:rFonts w:ascii="Times New Roman" w:eastAsia="Calibri" w:hAnsi="Times New Roman" w:cs="Times New Roman"/>
          <w:sz w:val="24"/>
          <w:szCs w:val="24"/>
          <w:lang w:val="es-ES"/>
        </w:rPr>
        <w:t>naciente derecho ambiental,</w:t>
      </w:r>
      <w:r w:rsidR="003C64E3">
        <w:rPr>
          <w:rFonts w:ascii="Times New Roman" w:eastAsia="Calibri" w:hAnsi="Times New Roman" w:cs="Times New Roman"/>
          <w:sz w:val="24"/>
          <w:szCs w:val="24"/>
          <w:lang w:val="es-ES"/>
        </w:rPr>
        <w:t xml:space="preserve"> </w:t>
      </w:r>
      <w:r w:rsidR="003C64E3" w:rsidRPr="00E65720">
        <w:rPr>
          <w:rFonts w:ascii="Times New Roman" w:hAnsi="Times New Roman" w:cs="Times New Roman"/>
          <w:sz w:val="24"/>
          <w:szCs w:val="24"/>
          <w:lang w:val="es-ES"/>
        </w:rPr>
        <w:t>a partir del juego entre el derecho a un ambiente sano, consagrado en el artículo 41° de la Constitución Nacional, y una serie de derechos humanos que se verían vulnerados por este aumento de los desmontes</w:t>
      </w:r>
      <w:r w:rsidR="003C64E3" w:rsidRPr="00E65720">
        <w:rPr>
          <w:rFonts w:ascii="Times New Roman" w:hAnsi="Times New Roman" w:cs="Times New Roman"/>
          <w:sz w:val="24"/>
          <w:szCs w:val="24"/>
          <w:vertAlign w:val="superscript"/>
          <w:lang w:val="es-ES"/>
        </w:rPr>
        <w:footnoteReference w:id="9"/>
      </w:r>
      <w:r w:rsidR="003C64E3" w:rsidRPr="00E65720">
        <w:rPr>
          <w:rFonts w:ascii="Times New Roman" w:hAnsi="Times New Roman" w:cs="Times New Roman"/>
          <w:sz w:val="24"/>
          <w:szCs w:val="24"/>
          <w:lang w:val="es-ES"/>
        </w:rPr>
        <w:t>. Al recurrir a la letra constitucional, buscaron desplazar el debate en torno a los desmontes y tala intensiva que sufren sus territorios del plano provincial al nacional y del derecho privado al constitucional: lo que se estaba vulnerando no eran solamente los derechos indígenas y campesinos, sino los de todos los argentinos, presentes y futuros. La estrategia de los demandantes consistió en recurrir al carácter difuso del derecho ambiental como herramienta para preservar sus territorios, sobre los cuales los primeros tienen reconocimiento constitucional de posesión y los segundos tenencia precaria.</w:t>
      </w:r>
    </w:p>
    <w:p w14:paraId="71C5A49F" w14:textId="77777777" w:rsidR="00647144" w:rsidRDefault="00647144" w:rsidP="00C20901">
      <w:pPr>
        <w:spacing w:line="360" w:lineRule="auto"/>
        <w:jc w:val="both"/>
        <w:rPr>
          <w:rFonts w:ascii="Times New Roman" w:hAnsi="Times New Roman" w:cs="Times New Roman"/>
          <w:sz w:val="24"/>
          <w:szCs w:val="24"/>
        </w:rPr>
      </w:pPr>
      <w:r w:rsidRPr="00E65720">
        <w:rPr>
          <w:rFonts w:ascii="Times New Roman" w:hAnsi="Times New Roman" w:cs="Times New Roman"/>
          <w:sz w:val="24"/>
          <w:szCs w:val="24"/>
          <w:lang w:val="es-ES"/>
        </w:rPr>
        <w:t xml:space="preserve">En vistas de que la ley provincial 7543 omitió presentar el mapa de </w:t>
      </w:r>
      <w:r w:rsidR="001D489A">
        <w:rPr>
          <w:rFonts w:ascii="Times New Roman" w:hAnsi="Times New Roman" w:cs="Times New Roman"/>
          <w:sz w:val="24"/>
          <w:szCs w:val="24"/>
          <w:lang w:val="es-ES"/>
        </w:rPr>
        <w:t>OTBN</w:t>
      </w:r>
      <w:r w:rsidRPr="00E65720">
        <w:rPr>
          <w:rFonts w:ascii="Times New Roman" w:hAnsi="Times New Roman" w:cs="Times New Roman"/>
          <w:sz w:val="24"/>
          <w:szCs w:val="24"/>
          <w:lang w:val="es-ES"/>
        </w:rPr>
        <w:t xml:space="preserve">  hecho con la participación de las comunidades locales y que aún no se había iniciado el relevamiento de la ley 26160, las comunidades se encontraban sin herramientas jurídicas para hacer respetar sus derechos sobre sus respectivos territorios. E</w:t>
      </w:r>
      <w:r w:rsidRPr="00E65720">
        <w:rPr>
          <w:rFonts w:ascii="Times New Roman" w:hAnsi="Times New Roman" w:cs="Times New Roman"/>
          <w:sz w:val="24"/>
          <w:szCs w:val="24"/>
        </w:rPr>
        <w:t xml:space="preserve">l derecho ambiental, más allá de sus limitaciones, al permitirles denunciar las consecuencias socio-ambientales negativas que el avance de la frontera agropecuaria trae aparejado, les permitiría proteger sus territorios. </w:t>
      </w:r>
      <w:r w:rsidRPr="00E65720">
        <w:rPr>
          <w:rFonts w:ascii="Times New Roman" w:hAnsi="Times New Roman" w:cs="Times New Roman"/>
          <w:sz w:val="24"/>
          <w:szCs w:val="24"/>
        </w:rPr>
        <w:lastRenderedPageBreak/>
        <w:t>Ante estos argumentos, la Corte rápidamente dio lugar a la medida cautelar solicitada y convocó a las partes a una audiencia pública a fin de determinar los hechos denunciados.</w:t>
      </w:r>
      <w:r>
        <w:rPr>
          <w:rFonts w:ascii="Times New Roman" w:hAnsi="Times New Roman" w:cs="Times New Roman"/>
          <w:sz w:val="24"/>
          <w:szCs w:val="24"/>
        </w:rPr>
        <w:t xml:space="preserve"> </w:t>
      </w:r>
    </w:p>
    <w:p w14:paraId="464960C5" w14:textId="77777777" w:rsidR="00EF571F" w:rsidRDefault="00EF571F" w:rsidP="00C20901">
      <w:pPr>
        <w:spacing w:line="360" w:lineRule="auto"/>
        <w:jc w:val="both"/>
        <w:rPr>
          <w:rFonts w:ascii="Times New Roman" w:hAnsi="Times New Roman" w:cs="Times New Roman"/>
          <w:bCs/>
          <w:sz w:val="24"/>
          <w:szCs w:val="24"/>
        </w:rPr>
      </w:pPr>
      <w:r w:rsidRPr="00E65720">
        <w:rPr>
          <w:rFonts w:ascii="Times New Roman" w:hAnsi="Times New Roman" w:cs="Times New Roman"/>
          <w:sz w:val="24"/>
          <w:szCs w:val="24"/>
          <w:lang w:val="es-ES"/>
        </w:rPr>
        <w:t>A partir de los intercambios mantenidos durante la audiencia, la Corte decide mantener la cautelar y manda a realizar un “estudio de impacto ambiental acumulativo” (EIAA) para determinar el impacto socio-ambiental acumulado que habían tenido los desmontes realizados hasta la fecha  en la zona y cuál sería el impacto en caso de que se ejecutasen todas las autorizaciones otorgadas. Este accionar fue muy bien recibido por reconocidas organizaciones ambientales</w:t>
      </w:r>
      <w:r w:rsidRPr="00E65720">
        <w:rPr>
          <w:rStyle w:val="FootnoteReference"/>
          <w:rFonts w:ascii="Times New Roman" w:hAnsi="Times New Roman" w:cs="Times New Roman"/>
          <w:sz w:val="24"/>
          <w:szCs w:val="24"/>
          <w:lang w:val="es-ES"/>
        </w:rPr>
        <w:footnoteReference w:id="10"/>
      </w:r>
      <w:r w:rsidRPr="00E65720">
        <w:rPr>
          <w:rFonts w:ascii="Times New Roman" w:hAnsi="Times New Roman" w:cs="Times New Roman"/>
          <w:sz w:val="24"/>
          <w:szCs w:val="24"/>
          <w:lang w:val="es-ES"/>
        </w:rPr>
        <w:t xml:space="preserve"> que deciden sumarse a la causa en calidad de amigos del tribunal </w:t>
      </w:r>
      <w:r w:rsidRPr="00E65720">
        <w:rPr>
          <w:rFonts w:ascii="Times New Roman" w:hAnsi="Times New Roman" w:cs="Times New Roman"/>
          <w:bCs/>
          <w:sz w:val="24"/>
          <w:szCs w:val="24"/>
          <w:lang w:val="es-ES"/>
        </w:rPr>
        <w:t>(</w:t>
      </w:r>
      <w:r w:rsidRPr="00E65720">
        <w:rPr>
          <w:rFonts w:ascii="Times New Roman" w:hAnsi="Times New Roman" w:cs="Times New Roman"/>
          <w:bCs/>
          <w:i/>
          <w:sz w:val="24"/>
          <w:szCs w:val="24"/>
          <w:lang w:val="es-ES"/>
        </w:rPr>
        <w:t>Amicus Curiae</w:t>
      </w:r>
      <w:r w:rsidRPr="00E65720">
        <w:rPr>
          <w:rFonts w:ascii="Times New Roman" w:hAnsi="Times New Roman" w:cs="Times New Roman"/>
          <w:bCs/>
          <w:sz w:val="24"/>
          <w:szCs w:val="24"/>
          <w:lang w:val="es-ES"/>
        </w:rPr>
        <w:t xml:space="preserve">) en el entendimiento de que lo que se debatía en la causa tenía más que ver con el “interés público”, con un problema ambiental – ‘el desmonte’ y la aplicación de la Ley de Bosques–, que con un conflicto netamente social por la propiedad de la tierra y el derecho a su uso por parte de las poblaciones locales. </w:t>
      </w:r>
    </w:p>
    <w:p w14:paraId="08124CE5" w14:textId="77777777" w:rsidR="00EF571F" w:rsidRPr="00EF571F" w:rsidRDefault="00EF571F" w:rsidP="00C20901">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rPr>
        <w:t xml:space="preserve">En el esfuerzo por tratar de ordenar de alguna manera la diversidad de argumentos que los actores involucrados esgrimieron, pude reconocer tres grandes posturas respecto a </w:t>
      </w:r>
      <w:r w:rsidR="00984FE7">
        <w:rPr>
          <w:rFonts w:ascii="Times New Roman" w:hAnsi="Times New Roman" w:cs="Times New Roman"/>
          <w:bCs/>
          <w:sz w:val="24"/>
          <w:szCs w:val="24"/>
        </w:rPr>
        <w:t>cómo debía</w:t>
      </w:r>
      <w:r w:rsidRPr="00EF571F">
        <w:rPr>
          <w:rFonts w:ascii="Times New Roman" w:hAnsi="Times New Roman" w:cs="Times New Roman"/>
          <w:bCs/>
          <w:sz w:val="24"/>
          <w:szCs w:val="24"/>
        </w:rPr>
        <w:t xml:space="preserve"> delimitarse el interés general en materia de bosques nativos. </w:t>
      </w:r>
      <w:r w:rsidR="00984FE7">
        <w:rPr>
          <w:rFonts w:ascii="Times New Roman" w:hAnsi="Times New Roman" w:cs="Times New Roman"/>
          <w:bCs/>
          <w:sz w:val="24"/>
          <w:szCs w:val="24"/>
        </w:rPr>
        <w:t>Una fue</w:t>
      </w:r>
      <w:r w:rsidRPr="00EF571F">
        <w:rPr>
          <w:rFonts w:ascii="Times New Roman" w:hAnsi="Times New Roman" w:cs="Times New Roman"/>
          <w:bCs/>
          <w:sz w:val="24"/>
          <w:szCs w:val="24"/>
        </w:rPr>
        <w:t xml:space="preserve"> la de los peticionarios, que </w:t>
      </w:r>
      <w:r w:rsidR="00984FE7">
        <w:rPr>
          <w:rFonts w:ascii="Times New Roman" w:hAnsi="Times New Roman" w:cs="Times New Roman"/>
          <w:bCs/>
          <w:sz w:val="24"/>
          <w:szCs w:val="24"/>
        </w:rPr>
        <w:t>buscaron</w:t>
      </w:r>
      <w:r w:rsidRPr="00EF571F">
        <w:rPr>
          <w:rFonts w:ascii="Times New Roman" w:hAnsi="Times New Roman" w:cs="Times New Roman"/>
          <w:bCs/>
          <w:sz w:val="24"/>
          <w:szCs w:val="24"/>
        </w:rPr>
        <w:t xml:space="preserve"> demostrar que </w:t>
      </w:r>
      <w:r w:rsidRPr="00EF571F">
        <w:rPr>
          <w:rFonts w:ascii="Times New Roman" w:hAnsi="Times New Roman" w:cs="Times New Roman"/>
          <w:bCs/>
          <w:sz w:val="24"/>
          <w:szCs w:val="24"/>
          <w:lang w:val="es-ES"/>
        </w:rPr>
        <w:t xml:space="preserve">sus intereses, individuales y colectivos, </w:t>
      </w:r>
      <w:r w:rsidR="00D33235">
        <w:rPr>
          <w:rFonts w:ascii="Times New Roman" w:hAnsi="Times New Roman" w:cs="Times New Roman"/>
          <w:bCs/>
          <w:sz w:val="24"/>
          <w:szCs w:val="24"/>
          <w:lang w:val="es-ES"/>
        </w:rPr>
        <w:t>iban a de la mano con</w:t>
      </w:r>
      <w:r w:rsidR="00984FE7">
        <w:rPr>
          <w:rFonts w:ascii="Times New Roman" w:hAnsi="Times New Roman" w:cs="Times New Roman"/>
          <w:bCs/>
          <w:sz w:val="24"/>
          <w:szCs w:val="24"/>
          <w:lang w:val="es-ES"/>
        </w:rPr>
        <w:t xml:space="preserve"> </w:t>
      </w:r>
      <w:r w:rsidRPr="00EF571F">
        <w:rPr>
          <w:rFonts w:ascii="Times New Roman" w:hAnsi="Times New Roman" w:cs="Times New Roman"/>
          <w:bCs/>
          <w:sz w:val="24"/>
          <w:szCs w:val="24"/>
          <w:lang w:val="es-ES"/>
        </w:rPr>
        <w:t xml:space="preserve">el “interés general”. </w:t>
      </w:r>
      <w:r w:rsidR="00D33235">
        <w:rPr>
          <w:rFonts w:ascii="Times New Roman" w:hAnsi="Times New Roman" w:cs="Times New Roman"/>
          <w:bCs/>
          <w:sz w:val="24"/>
          <w:szCs w:val="24"/>
          <w:lang w:val="es-ES"/>
        </w:rPr>
        <w:t>Entendiendo que este consiste</w:t>
      </w:r>
      <w:r w:rsidRPr="00EF571F">
        <w:rPr>
          <w:rFonts w:ascii="Times New Roman" w:hAnsi="Times New Roman" w:cs="Times New Roman"/>
          <w:bCs/>
          <w:sz w:val="24"/>
          <w:szCs w:val="24"/>
          <w:lang w:val="es-ES"/>
        </w:rPr>
        <w:t xml:space="preserve"> en preservar un medio ambiente sano para las gen</w:t>
      </w:r>
      <w:r w:rsidR="00D33235">
        <w:rPr>
          <w:rFonts w:ascii="Times New Roman" w:hAnsi="Times New Roman" w:cs="Times New Roman"/>
          <w:bCs/>
          <w:sz w:val="24"/>
          <w:szCs w:val="24"/>
          <w:lang w:val="es-ES"/>
        </w:rPr>
        <w:t xml:space="preserve">eraciones presentes y futuras, propusieron </w:t>
      </w:r>
      <w:r w:rsidRPr="00EF571F">
        <w:rPr>
          <w:rFonts w:ascii="Times New Roman" w:hAnsi="Times New Roman" w:cs="Times New Roman"/>
          <w:bCs/>
          <w:sz w:val="24"/>
          <w:szCs w:val="24"/>
          <w:lang w:val="es-ES"/>
        </w:rPr>
        <w:t>que el modo de vida indígena y el modo de vida campesino se ajusta</w:t>
      </w:r>
      <w:r w:rsidR="00D33235">
        <w:rPr>
          <w:rFonts w:ascii="Times New Roman" w:hAnsi="Times New Roman" w:cs="Times New Roman"/>
          <w:bCs/>
          <w:sz w:val="24"/>
          <w:szCs w:val="24"/>
          <w:lang w:val="es-ES"/>
        </w:rPr>
        <w:t>ba</w:t>
      </w:r>
      <w:r w:rsidRPr="00EF571F">
        <w:rPr>
          <w:rFonts w:ascii="Times New Roman" w:hAnsi="Times New Roman" w:cs="Times New Roman"/>
          <w:bCs/>
          <w:sz w:val="24"/>
          <w:szCs w:val="24"/>
          <w:lang w:val="es-ES"/>
        </w:rPr>
        <w:t xml:space="preserve"> mejor a ese propósito que el neo-extractivismo. Al recurrir a la letra constitucional, busca</w:t>
      </w:r>
      <w:r w:rsidR="00D33235">
        <w:rPr>
          <w:rFonts w:ascii="Times New Roman" w:hAnsi="Times New Roman" w:cs="Times New Roman"/>
          <w:bCs/>
          <w:sz w:val="24"/>
          <w:szCs w:val="24"/>
          <w:lang w:val="es-ES"/>
        </w:rPr>
        <w:t>ron</w:t>
      </w:r>
      <w:r w:rsidRPr="00EF571F">
        <w:rPr>
          <w:rFonts w:ascii="Times New Roman" w:hAnsi="Times New Roman" w:cs="Times New Roman"/>
          <w:bCs/>
          <w:sz w:val="24"/>
          <w:szCs w:val="24"/>
          <w:lang w:val="es-ES"/>
        </w:rPr>
        <w:t xml:space="preserve"> desplazar el debate en torno a los desmo</w:t>
      </w:r>
      <w:r w:rsidR="00D33235">
        <w:rPr>
          <w:rFonts w:ascii="Times New Roman" w:hAnsi="Times New Roman" w:cs="Times New Roman"/>
          <w:bCs/>
          <w:sz w:val="24"/>
          <w:szCs w:val="24"/>
          <w:lang w:val="es-ES"/>
        </w:rPr>
        <w:t>ntes y tala intensiva que sufría (y aún sufren)</w:t>
      </w:r>
      <w:r w:rsidRPr="00EF571F">
        <w:rPr>
          <w:rFonts w:ascii="Times New Roman" w:hAnsi="Times New Roman" w:cs="Times New Roman"/>
          <w:bCs/>
          <w:sz w:val="24"/>
          <w:szCs w:val="24"/>
          <w:lang w:val="es-ES"/>
        </w:rPr>
        <w:t xml:space="preserve"> sus territorios a</w:t>
      </w:r>
      <w:r w:rsidR="00D33235">
        <w:rPr>
          <w:rFonts w:ascii="Times New Roman" w:hAnsi="Times New Roman" w:cs="Times New Roman"/>
          <w:bCs/>
          <w:sz w:val="24"/>
          <w:szCs w:val="24"/>
          <w:lang w:val="es-ES"/>
        </w:rPr>
        <w:t>l plano nacional: lo que se estaba vulnerando no eran</w:t>
      </w:r>
      <w:r w:rsidRPr="00EF571F">
        <w:rPr>
          <w:rFonts w:ascii="Times New Roman" w:hAnsi="Times New Roman" w:cs="Times New Roman"/>
          <w:bCs/>
          <w:sz w:val="24"/>
          <w:szCs w:val="24"/>
          <w:lang w:val="es-ES"/>
        </w:rPr>
        <w:t xml:space="preserve"> solamente los derechos indígenas y campesinos, sino los de todos los argentinos, presentes y futuros. Su estrategia co</w:t>
      </w:r>
      <w:r w:rsidR="00D33235">
        <w:rPr>
          <w:rFonts w:ascii="Times New Roman" w:hAnsi="Times New Roman" w:cs="Times New Roman"/>
          <w:bCs/>
          <w:sz w:val="24"/>
          <w:szCs w:val="24"/>
          <w:lang w:val="es-ES"/>
        </w:rPr>
        <w:t>nsistió</w:t>
      </w:r>
      <w:r w:rsidRPr="00EF571F">
        <w:rPr>
          <w:rFonts w:ascii="Times New Roman" w:hAnsi="Times New Roman" w:cs="Times New Roman"/>
          <w:bCs/>
          <w:sz w:val="24"/>
          <w:szCs w:val="24"/>
          <w:lang w:val="es-ES"/>
        </w:rPr>
        <w:t xml:space="preserve">, así, en recurrir al derecho ambiental para preservar sus territorios sobre los cuales los primeros tienen reconocimiento constitucional de posesión y los segundos tenencia precaria. Sin la propiedad ambos </w:t>
      </w:r>
      <w:r w:rsidR="00D33235">
        <w:rPr>
          <w:rFonts w:ascii="Times New Roman" w:hAnsi="Times New Roman" w:cs="Times New Roman"/>
          <w:bCs/>
          <w:sz w:val="24"/>
          <w:szCs w:val="24"/>
          <w:lang w:val="es-ES"/>
        </w:rPr>
        <w:t>estaban</w:t>
      </w:r>
      <w:r w:rsidRPr="00EF571F">
        <w:rPr>
          <w:rFonts w:ascii="Times New Roman" w:hAnsi="Times New Roman" w:cs="Times New Roman"/>
          <w:bCs/>
          <w:sz w:val="24"/>
          <w:szCs w:val="24"/>
          <w:lang w:val="es-ES"/>
        </w:rPr>
        <w:t xml:space="preserve"> en una situación de inseguridad jurídica. Su postura </w:t>
      </w:r>
      <w:r w:rsidR="00D33235">
        <w:rPr>
          <w:rFonts w:ascii="Times New Roman" w:hAnsi="Times New Roman" w:cs="Times New Roman"/>
          <w:bCs/>
          <w:sz w:val="24"/>
          <w:szCs w:val="24"/>
          <w:lang w:val="es-ES"/>
        </w:rPr>
        <w:t>fue</w:t>
      </w:r>
      <w:r w:rsidRPr="00EF571F">
        <w:rPr>
          <w:rFonts w:ascii="Times New Roman" w:hAnsi="Times New Roman" w:cs="Times New Roman"/>
          <w:bCs/>
          <w:sz w:val="24"/>
          <w:szCs w:val="24"/>
          <w:lang w:val="es-ES"/>
        </w:rPr>
        <w:t xml:space="preserve">, en resumidas cuentas, que el bosque nativo debe ser preservado, pero a la vez debe ser lugar de vida de las poblaciones locales y que estos dos destinos no se contraponen. </w:t>
      </w:r>
    </w:p>
    <w:p w14:paraId="411CB32D" w14:textId="77777777" w:rsidR="00EF571F" w:rsidRPr="00EF571F" w:rsidRDefault="00EF571F" w:rsidP="00C20901">
      <w:pPr>
        <w:spacing w:line="360" w:lineRule="auto"/>
        <w:jc w:val="both"/>
        <w:rPr>
          <w:rFonts w:ascii="Times New Roman" w:hAnsi="Times New Roman" w:cs="Times New Roman"/>
          <w:bCs/>
          <w:sz w:val="24"/>
          <w:szCs w:val="24"/>
        </w:rPr>
      </w:pPr>
      <w:r w:rsidRPr="00EF571F">
        <w:rPr>
          <w:rFonts w:ascii="Times New Roman" w:hAnsi="Times New Roman" w:cs="Times New Roman"/>
          <w:bCs/>
          <w:sz w:val="24"/>
          <w:szCs w:val="24"/>
        </w:rPr>
        <w:lastRenderedPageBreak/>
        <w:t xml:space="preserve">Otra postura </w:t>
      </w:r>
      <w:r w:rsidR="00D33235">
        <w:rPr>
          <w:rFonts w:ascii="Times New Roman" w:hAnsi="Times New Roman" w:cs="Times New Roman"/>
          <w:bCs/>
          <w:sz w:val="24"/>
          <w:szCs w:val="24"/>
        </w:rPr>
        <w:t>fue</w:t>
      </w:r>
      <w:r w:rsidRPr="00EF571F">
        <w:rPr>
          <w:rFonts w:ascii="Times New Roman" w:hAnsi="Times New Roman" w:cs="Times New Roman"/>
          <w:bCs/>
          <w:sz w:val="24"/>
          <w:szCs w:val="24"/>
        </w:rPr>
        <w:t xml:space="preserve"> la de la provincia de Salta, para quien </w:t>
      </w:r>
      <w:r w:rsidR="00D33235">
        <w:rPr>
          <w:rFonts w:ascii="Times New Roman" w:hAnsi="Times New Roman" w:cs="Times New Roman"/>
          <w:bCs/>
          <w:sz w:val="24"/>
          <w:szCs w:val="24"/>
        </w:rPr>
        <w:t>el conflicto</w:t>
      </w:r>
      <w:r w:rsidRPr="00EF571F">
        <w:rPr>
          <w:rFonts w:ascii="Times New Roman" w:hAnsi="Times New Roman" w:cs="Times New Roman"/>
          <w:bCs/>
          <w:sz w:val="24"/>
          <w:szCs w:val="24"/>
        </w:rPr>
        <w:t xml:space="preserve"> no se relaciona con el ‘interés general’ de la nación sino que es un conflicto su</w:t>
      </w:r>
      <w:r w:rsidR="00D33235">
        <w:rPr>
          <w:rFonts w:ascii="Times New Roman" w:hAnsi="Times New Roman" w:cs="Times New Roman"/>
          <w:bCs/>
          <w:sz w:val="24"/>
          <w:szCs w:val="24"/>
        </w:rPr>
        <w:t>s</w:t>
      </w:r>
      <w:r w:rsidRPr="00EF571F">
        <w:rPr>
          <w:rFonts w:ascii="Times New Roman" w:hAnsi="Times New Roman" w:cs="Times New Roman"/>
          <w:bCs/>
          <w:sz w:val="24"/>
          <w:szCs w:val="24"/>
        </w:rPr>
        <w:t>citado en jurisdicción provincial y, según mi propia interpretación, más bien vinculado con el interés provincial de favorecer a los sectores productivos que solicitan las autorizaciones de desmonte y de aprovechamiento forestal. Parece que la idea de</w:t>
      </w:r>
      <w:r w:rsidR="00D33235">
        <w:rPr>
          <w:rFonts w:ascii="Times New Roman" w:hAnsi="Times New Roman" w:cs="Times New Roman"/>
          <w:bCs/>
          <w:sz w:val="24"/>
          <w:szCs w:val="24"/>
        </w:rPr>
        <w:t xml:space="preserve"> desarrollo sostenible que mantenía la provincia puso</w:t>
      </w:r>
      <w:r w:rsidRPr="00EF571F">
        <w:rPr>
          <w:rFonts w:ascii="Times New Roman" w:hAnsi="Times New Roman" w:cs="Times New Roman"/>
          <w:bCs/>
          <w:sz w:val="24"/>
          <w:szCs w:val="24"/>
        </w:rPr>
        <w:t xml:space="preserve"> el acento en la sostenibilidad del crecimiento económico y productivo, no en la preservación ambiental y el respeto a la diferencia cultural.  </w:t>
      </w:r>
    </w:p>
    <w:p w14:paraId="051291DA" w14:textId="77777777" w:rsidR="003F0FA9" w:rsidRDefault="00D33235" w:rsidP="00C2090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Por último, </w:t>
      </w:r>
      <w:r w:rsidR="00EF571F" w:rsidRPr="00EF571F">
        <w:rPr>
          <w:rFonts w:ascii="Times New Roman" w:hAnsi="Times New Roman" w:cs="Times New Roman"/>
          <w:bCs/>
          <w:sz w:val="24"/>
          <w:szCs w:val="24"/>
        </w:rPr>
        <w:t>la postura del gobierno nacional, que</w:t>
      </w:r>
      <w:r w:rsidR="00F65E07">
        <w:rPr>
          <w:rFonts w:ascii="Times New Roman" w:hAnsi="Times New Roman" w:cs="Times New Roman"/>
          <w:bCs/>
          <w:sz w:val="24"/>
          <w:szCs w:val="24"/>
        </w:rPr>
        <w:t xml:space="preserve"> </w:t>
      </w:r>
      <w:r w:rsidR="00EF571F" w:rsidRPr="00EF571F">
        <w:rPr>
          <w:rFonts w:ascii="Times New Roman" w:hAnsi="Times New Roman" w:cs="Times New Roman"/>
          <w:bCs/>
          <w:sz w:val="24"/>
          <w:szCs w:val="24"/>
        </w:rPr>
        <w:t xml:space="preserve">fue compartida por la Corte y por las ONGs que se presentan en el </w:t>
      </w:r>
      <w:r w:rsidR="00EF571F" w:rsidRPr="00EF571F">
        <w:rPr>
          <w:rFonts w:ascii="Times New Roman" w:hAnsi="Times New Roman" w:cs="Times New Roman"/>
          <w:bCs/>
          <w:i/>
          <w:sz w:val="24"/>
          <w:szCs w:val="24"/>
        </w:rPr>
        <w:t>Amicus Curiae</w:t>
      </w:r>
      <w:r w:rsidR="00F65E07">
        <w:rPr>
          <w:rFonts w:ascii="Times New Roman" w:hAnsi="Times New Roman" w:cs="Times New Roman"/>
          <w:bCs/>
          <w:sz w:val="24"/>
          <w:szCs w:val="24"/>
        </w:rPr>
        <w:t xml:space="preserve">, para quienes </w:t>
      </w:r>
      <w:r w:rsidR="00EF571F" w:rsidRPr="00EF571F">
        <w:rPr>
          <w:rFonts w:ascii="Times New Roman" w:hAnsi="Times New Roman" w:cs="Times New Roman"/>
          <w:bCs/>
          <w:sz w:val="24"/>
          <w:szCs w:val="24"/>
        </w:rPr>
        <w:t>el dest</w:t>
      </w:r>
      <w:r w:rsidR="00B60B87">
        <w:rPr>
          <w:rFonts w:ascii="Times New Roman" w:hAnsi="Times New Roman" w:cs="Times New Roman"/>
          <w:bCs/>
          <w:sz w:val="24"/>
          <w:szCs w:val="24"/>
        </w:rPr>
        <w:t>ino de los bosques nativos sí era</w:t>
      </w:r>
      <w:r w:rsidR="00EF571F" w:rsidRPr="00EF571F">
        <w:rPr>
          <w:rFonts w:ascii="Times New Roman" w:hAnsi="Times New Roman" w:cs="Times New Roman"/>
          <w:bCs/>
          <w:sz w:val="24"/>
          <w:szCs w:val="24"/>
        </w:rPr>
        <w:t xml:space="preserve"> objeto</w:t>
      </w:r>
      <w:r w:rsidR="00B60B87">
        <w:rPr>
          <w:rFonts w:ascii="Times New Roman" w:hAnsi="Times New Roman" w:cs="Times New Roman"/>
          <w:bCs/>
          <w:sz w:val="24"/>
          <w:szCs w:val="24"/>
        </w:rPr>
        <w:t xml:space="preserve"> de</w:t>
      </w:r>
      <w:r w:rsidR="00EF571F" w:rsidRPr="00EF571F">
        <w:rPr>
          <w:rFonts w:ascii="Times New Roman" w:hAnsi="Times New Roman" w:cs="Times New Roman"/>
          <w:bCs/>
          <w:sz w:val="24"/>
          <w:szCs w:val="24"/>
        </w:rPr>
        <w:t xml:space="preserve"> ‘interés general’ de la Nación. En ese sentido, se puede interpretar que la vinculación que hace la Corte</w:t>
      </w:r>
      <w:r w:rsidR="00F65E07">
        <w:rPr>
          <w:rFonts w:ascii="Times New Roman" w:hAnsi="Times New Roman" w:cs="Times New Roman"/>
          <w:bCs/>
          <w:sz w:val="24"/>
          <w:szCs w:val="24"/>
        </w:rPr>
        <w:t xml:space="preserve"> </w:t>
      </w:r>
      <w:r w:rsidR="00EF571F" w:rsidRPr="00EF571F">
        <w:rPr>
          <w:rFonts w:ascii="Times New Roman" w:hAnsi="Times New Roman" w:cs="Times New Roman"/>
          <w:bCs/>
          <w:sz w:val="24"/>
          <w:szCs w:val="24"/>
        </w:rPr>
        <w:t xml:space="preserve">con la </w:t>
      </w:r>
      <w:r w:rsidR="00F65E07">
        <w:rPr>
          <w:rFonts w:ascii="Times New Roman" w:hAnsi="Times New Roman" w:cs="Times New Roman"/>
          <w:bCs/>
          <w:sz w:val="24"/>
          <w:szCs w:val="24"/>
        </w:rPr>
        <w:t>Ley de Bosques (la cual no es mencionada en la demanda)</w:t>
      </w:r>
      <w:r w:rsidR="00EF571F" w:rsidRPr="00EF571F">
        <w:rPr>
          <w:rFonts w:ascii="Times New Roman" w:hAnsi="Times New Roman" w:cs="Times New Roman"/>
          <w:bCs/>
          <w:sz w:val="24"/>
          <w:szCs w:val="24"/>
        </w:rPr>
        <w:t xml:space="preserve"> busca reforzar su aplicación en la provincia, intimando a ésta para que adecue su legislación y política ambiental a los nuevos estándares instaurados por la Nación. En ese sentido, el E</w:t>
      </w:r>
      <w:r w:rsidR="00C4466B">
        <w:rPr>
          <w:rFonts w:ascii="Times New Roman" w:hAnsi="Times New Roman" w:cs="Times New Roman"/>
          <w:bCs/>
          <w:sz w:val="24"/>
          <w:szCs w:val="24"/>
        </w:rPr>
        <w:t xml:space="preserve">IAA </w:t>
      </w:r>
      <w:r w:rsidR="00EF571F" w:rsidRPr="00EF571F">
        <w:rPr>
          <w:rFonts w:ascii="Times New Roman" w:hAnsi="Times New Roman" w:cs="Times New Roman"/>
          <w:bCs/>
          <w:sz w:val="24"/>
          <w:szCs w:val="24"/>
        </w:rPr>
        <w:t>que solicit</w:t>
      </w:r>
      <w:r w:rsidR="00B60B87">
        <w:rPr>
          <w:rFonts w:ascii="Times New Roman" w:hAnsi="Times New Roman" w:cs="Times New Roman"/>
          <w:bCs/>
          <w:sz w:val="24"/>
          <w:szCs w:val="24"/>
        </w:rPr>
        <w:t>ó</w:t>
      </w:r>
      <w:r w:rsidR="00EF571F" w:rsidRPr="00EF571F">
        <w:rPr>
          <w:rFonts w:ascii="Times New Roman" w:hAnsi="Times New Roman" w:cs="Times New Roman"/>
          <w:bCs/>
          <w:sz w:val="24"/>
          <w:szCs w:val="24"/>
        </w:rPr>
        <w:t xml:space="preserve"> se condice con el que la provincia debería </w:t>
      </w:r>
      <w:r w:rsidR="00B60B87">
        <w:rPr>
          <w:rFonts w:ascii="Times New Roman" w:hAnsi="Times New Roman" w:cs="Times New Roman"/>
          <w:bCs/>
          <w:sz w:val="24"/>
          <w:szCs w:val="24"/>
        </w:rPr>
        <w:t xml:space="preserve">haber </w:t>
      </w:r>
      <w:r w:rsidR="00EF571F" w:rsidRPr="00EF571F">
        <w:rPr>
          <w:rFonts w:ascii="Times New Roman" w:hAnsi="Times New Roman" w:cs="Times New Roman"/>
          <w:bCs/>
          <w:sz w:val="24"/>
          <w:szCs w:val="24"/>
        </w:rPr>
        <w:t>lleva</w:t>
      </w:r>
      <w:r w:rsidR="00B60B87">
        <w:rPr>
          <w:rFonts w:ascii="Times New Roman" w:hAnsi="Times New Roman" w:cs="Times New Roman"/>
          <w:bCs/>
          <w:sz w:val="24"/>
          <w:szCs w:val="24"/>
        </w:rPr>
        <w:t>do</w:t>
      </w:r>
      <w:r w:rsidR="00EF571F" w:rsidRPr="00EF571F">
        <w:rPr>
          <w:rFonts w:ascii="Times New Roman" w:hAnsi="Times New Roman" w:cs="Times New Roman"/>
          <w:bCs/>
          <w:sz w:val="24"/>
          <w:szCs w:val="24"/>
        </w:rPr>
        <w:t xml:space="preserve"> a cabo para realizar el OTBN. Esta interp</w:t>
      </w:r>
      <w:r w:rsidR="00F65E07">
        <w:rPr>
          <w:rFonts w:ascii="Times New Roman" w:hAnsi="Times New Roman" w:cs="Times New Roman"/>
          <w:bCs/>
          <w:sz w:val="24"/>
          <w:szCs w:val="24"/>
        </w:rPr>
        <w:t>retación de que lo que se debatía</w:t>
      </w:r>
      <w:r w:rsidR="00EF571F" w:rsidRPr="00EF571F">
        <w:rPr>
          <w:rFonts w:ascii="Times New Roman" w:hAnsi="Times New Roman" w:cs="Times New Roman"/>
          <w:bCs/>
          <w:sz w:val="24"/>
          <w:szCs w:val="24"/>
        </w:rPr>
        <w:t xml:space="preserve"> en la caus</w:t>
      </w:r>
      <w:r w:rsidR="00F65E07">
        <w:rPr>
          <w:rFonts w:ascii="Times New Roman" w:hAnsi="Times New Roman" w:cs="Times New Roman"/>
          <w:bCs/>
          <w:sz w:val="24"/>
          <w:szCs w:val="24"/>
        </w:rPr>
        <w:t>a era</w:t>
      </w:r>
      <w:r w:rsidR="00B60B87">
        <w:rPr>
          <w:rFonts w:ascii="Times New Roman" w:hAnsi="Times New Roman" w:cs="Times New Roman"/>
          <w:bCs/>
          <w:sz w:val="24"/>
          <w:szCs w:val="24"/>
        </w:rPr>
        <w:t xml:space="preserve"> de interés general reconocía</w:t>
      </w:r>
      <w:r w:rsidR="00EF571F" w:rsidRPr="00EF571F">
        <w:rPr>
          <w:rFonts w:ascii="Times New Roman" w:hAnsi="Times New Roman" w:cs="Times New Roman"/>
          <w:bCs/>
          <w:sz w:val="24"/>
          <w:szCs w:val="24"/>
        </w:rPr>
        <w:t xml:space="preserve"> la demanda de los peticionarios, quienes construye</w:t>
      </w:r>
      <w:r w:rsidR="00B60B87">
        <w:rPr>
          <w:rFonts w:ascii="Times New Roman" w:hAnsi="Times New Roman" w:cs="Times New Roman"/>
          <w:bCs/>
          <w:sz w:val="24"/>
          <w:szCs w:val="24"/>
        </w:rPr>
        <w:t>ron</w:t>
      </w:r>
      <w:r w:rsidR="00EF571F" w:rsidRPr="00EF571F">
        <w:rPr>
          <w:rFonts w:ascii="Times New Roman" w:hAnsi="Times New Roman" w:cs="Times New Roman"/>
          <w:bCs/>
          <w:sz w:val="24"/>
          <w:szCs w:val="24"/>
        </w:rPr>
        <w:t xml:space="preserve"> su estrategia a partir de la vinculación de dicho interés con sus intereses colectivos. Sin embargo </w:t>
      </w:r>
      <w:r w:rsidR="00B60B87">
        <w:rPr>
          <w:rFonts w:ascii="Times New Roman" w:hAnsi="Times New Roman" w:cs="Times New Roman"/>
          <w:bCs/>
          <w:sz w:val="24"/>
          <w:szCs w:val="24"/>
        </w:rPr>
        <w:t xml:space="preserve">noté que hubo </w:t>
      </w:r>
      <w:r w:rsidR="00EF571F" w:rsidRPr="00EF571F">
        <w:rPr>
          <w:rFonts w:ascii="Times New Roman" w:hAnsi="Times New Roman" w:cs="Times New Roman"/>
          <w:bCs/>
          <w:sz w:val="24"/>
          <w:szCs w:val="24"/>
        </w:rPr>
        <w:t>un desplazamiento, en el transcurso de la causa, de los derechos colectivos de las comunidades hacia un derecho ‘difuso’ fundado en el interés general.</w:t>
      </w:r>
      <w:r w:rsidR="003F0FA9">
        <w:rPr>
          <w:rFonts w:ascii="Times New Roman" w:hAnsi="Times New Roman" w:cs="Times New Roman"/>
          <w:bCs/>
          <w:sz w:val="24"/>
          <w:szCs w:val="24"/>
        </w:rPr>
        <w:t xml:space="preserve"> </w:t>
      </w:r>
    </w:p>
    <w:p w14:paraId="34721D21" w14:textId="77777777" w:rsidR="001E3B4F" w:rsidRPr="001D489A" w:rsidRDefault="003F0FA9" w:rsidP="00C20901">
      <w:pPr>
        <w:spacing w:line="360" w:lineRule="auto"/>
        <w:jc w:val="both"/>
        <w:rPr>
          <w:rFonts w:ascii="Times New Roman" w:hAnsi="Times New Roman" w:cs="Times New Roman"/>
          <w:bCs/>
          <w:sz w:val="24"/>
          <w:szCs w:val="24"/>
        </w:rPr>
      </w:pPr>
      <w:r w:rsidRPr="003F0FA9">
        <w:rPr>
          <w:rFonts w:ascii="Times New Roman" w:hAnsi="Times New Roman" w:cs="Times New Roman"/>
          <w:bCs/>
          <w:sz w:val="24"/>
          <w:szCs w:val="24"/>
        </w:rPr>
        <w:t>L</w:t>
      </w:r>
      <w:r>
        <w:rPr>
          <w:rFonts w:ascii="Times New Roman" w:hAnsi="Times New Roman" w:cs="Times New Roman"/>
          <w:bCs/>
          <w:sz w:val="24"/>
          <w:szCs w:val="24"/>
        </w:rPr>
        <w:t>o</w:t>
      </w:r>
      <w:r w:rsidRPr="003F0FA9">
        <w:rPr>
          <w:rFonts w:ascii="Times New Roman" w:hAnsi="Times New Roman" w:cs="Times New Roman"/>
          <w:bCs/>
          <w:sz w:val="24"/>
          <w:szCs w:val="24"/>
        </w:rPr>
        <w:t xml:space="preserve"> característic</w:t>
      </w:r>
      <w:r>
        <w:rPr>
          <w:rFonts w:ascii="Times New Roman" w:hAnsi="Times New Roman" w:cs="Times New Roman"/>
          <w:bCs/>
          <w:sz w:val="24"/>
          <w:szCs w:val="24"/>
        </w:rPr>
        <w:t>o</w:t>
      </w:r>
      <w:r w:rsidRPr="003F0FA9">
        <w:rPr>
          <w:rFonts w:ascii="Times New Roman" w:hAnsi="Times New Roman" w:cs="Times New Roman"/>
          <w:bCs/>
          <w:sz w:val="24"/>
          <w:szCs w:val="24"/>
        </w:rPr>
        <w:t xml:space="preserve"> de</w:t>
      </w:r>
      <w:r w:rsidRPr="001D489A">
        <w:rPr>
          <w:rFonts w:ascii="Times New Roman" w:hAnsi="Times New Roman" w:cs="Times New Roman"/>
          <w:bCs/>
          <w:sz w:val="24"/>
          <w:szCs w:val="24"/>
        </w:rPr>
        <w:t xml:space="preserve"> los intereses ‘difusos’ es que </w:t>
      </w:r>
      <w:r w:rsidR="00C4466B" w:rsidRPr="001D489A">
        <w:rPr>
          <w:rFonts w:ascii="Times New Roman" w:hAnsi="Times New Roman" w:cs="Times New Roman"/>
          <w:sz w:val="24"/>
          <w:szCs w:val="24"/>
        </w:rPr>
        <w:t xml:space="preserve">“refieren a un bien indivisible, de satisfacción y afectación </w:t>
      </w:r>
      <w:r w:rsidR="00C4466B" w:rsidRPr="001D489A">
        <w:rPr>
          <w:rFonts w:ascii="Times New Roman" w:hAnsi="Times New Roman" w:cs="Times New Roman"/>
          <w:i/>
          <w:sz w:val="24"/>
          <w:szCs w:val="24"/>
        </w:rPr>
        <w:t>común</w:t>
      </w:r>
      <w:r w:rsidR="00C4466B" w:rsidRPr="001D489A">
        <w:rPr>
          <w:rFonts w:ascii="Times New Roman" w:hAnsi="Times New Roman" w:cs="Times New Roman"/>
          <w:sz w:val="24"/>
          <w:szCs w:val="24"/>
        </w:rPr>
        <w:t>” y cuya titularidad es indiferenciada: “son a su vez de uno y de todos” (Cafferatta 2007: 38).</w:t>
      </w:r>
      <w:r w:rsidRPr="001D489A">
        <w:rPr>
          <w:rFonts w:ascii="Times New Roman" w:hAnsi="Times New Roman" w:cs="Times New Roman"/>
          <w:bCs/>
          <w:sz w:val="24"/>
          <w:szCs w:val="24"/>
        </w:rPr>
        <w:t xml:space="preserve"> En este sentido, el derecho ambiental supone un desafío jurídico: ¿qué derecho debe primar? </w:t>
      </w:r>
      <w:r w:rsidR="001E3B4F" w:rsidRPr="001D489A">
        <w:rPr>
          <w:rFonts w:ascii="Times New Roman" w:hAnsi="Times New Roman" w:cs="Times New Roman"/>
          <w:bCs/>
          <w:sz w:val="24"/>
          <w:szCs w:val="24"/>
        </w:rPr>
        <w:t>¿</w:t>
      </w:r>
      <w:r w:rsidR="001D489A" w:rsidRPr="001D489A">
        <w:rPr>
          <w:rFonts w:ascii="Times New Roman" w:eastAsia="Times New Roman" w:hAnsi="Times New Roman" w:cs="Times New Roman"/>
          <w:bCs/>
          <w:sz w:val="24"/>
          <w:szCs w:val="24"/>
          <w:lang w:eastAsia="es-ES"/>
        </w:rPr>
        <w:t>Cómo</w:t>
      </w:r>
      <w:r w:rsidR="001E3B4F" w:rsidRPr="001D489A">
        <w:rPr>
          <w:rFonts w:ascii="Times New Roman" w:eastAsia="Times New Roman" w:hAnsi="Times New Roman" w:cs="Times New Roman"/>
          <w:bCs/>
          <w:sz w:val="24"/>
          <w:szCs w:val="24"/>
          <w:lang w:eastAsia="es-ES"/>
        </w:rPr>
        <w:t xml:space="preserve"> se calcula ese ‘interés difuso’? Si este interés se materializa en los servicios ambientales, ¿cómo se calcula el valor de los mismos? </w:t>
      </w:r>
      <w:r w:rsidR="001D489A">
        <w:rPr>
          <w:rFonts w:ascii="Times New Roman" w:eastAsia="Times New Roman" w:hAnsi="Times New Roman" w:cs="Times New Roman"/>
          <w:bCs/>
          <w:sz w:val="24"/>
          <w:szCs w:val="24"/>
          <w:lang w:eastAsia="es-ES"/>
        </w:rPr>
        <w:t>¿Qué lugar tendría</w:t>
      </w:r>
      <w:r w:rsidR="001E3B4F" w:rsidRPr="001D489A">
        <w:rPr>
          <w:rFonts w:ascii="Times New Roman" w:eastAsia="Times New Roman" w:hAnsi="Times New Roman" w:cs="Times New Roman"/>
          <w:bCs/>
          <w:sz w:val="24"/>
          <w:szCs w:val="24"/>
          <w:lang w:eastAsia="es-ES"/>
        </w:rPr>
        <w:t>n los intereses de las comunidades en dic</w:t>
      </w:r>
      <w:r w:rsidR="001D489A">
        <w:rPr>
          <w:rFonts w:ascii="Times New Roman" w:eastAsia="Times New Roman" w:hAnsi="Times New Roman" w:cs="Times New Roman"/>
          <w:bCs/>
          <w:sz w:val="24"/>
          <w:szCs w:val="24"/>
          <w:lang w:eastAsia="es-ES"/>
        </w:rPr>
        <w:t>ho cálculo? ¿Cómo se los incluyó</w:t>
      </w:r>
      <w:r w:rsidR="001E3B4F" w:rsidRPr="001D489A">
        <w:rPr>
          <w:rFonts w:ascii="Times New Roman" w:eastAsia="Times New Roman" w:hAnsi="Times New Roman" w:cs="Times New Roman"/>
          <w:bCs/>
          <w:sz w:val="24"/>
          <w:szCs w:val="24"/>
          <w:lang w:eastAsia="es-ES"/>
        </w:rPr>
        <w:t xml:space="preserve"> y/o excluy</w:t>
      </w:r>
      <w:r w:rsidR="001D489A">
        <w:rPr>
          <w:rFonts w:ascii="Times New Roman" w:eastAsia="Times New Roman" w:hAnsi="Times New Roman" w:cs="Times New Roman"/>
          <w:bCs/>
          <w:sz w:val="24"/>
          <w:szCs w:val="24"/>
          <w:lang w:eastAsia="es-ES"/>
        </w:rPr>
        <w:t>ó</w:t>
      </w:r>
      <w:r w:rsidR="001E3B4F" w:rsidRPr="001D489A">
        <w:rPr>
          <w:rFonts w:ascii="Times New Roman" w:eastAsia="Times New Roman" w:hAnsi="Times New Roman" w:cs="Times New Roman"/>
          <w:bCs/>
          <w:sz w:val="24"/>
          <w:szCs w:val="24"/>
          <w:lang w:eastAsia="es-ES"/>
        </w:rPr>
        <w:t xml:space="preserve"> en el cálculo del </w:t>
      </w:r>
      <w:r w:rsidR="001E3B4F" w:rsidRPr="00A422E4">
        <w:rPr>
          <w:rFonts w:ascii="Times New Roman" w:eastAsia="Times New Roman" w:hAnsi="Times New Roman" w:cs="Times New Roman"/>
          <w:bCs/>
          <w:sz w:val="24"/>
          <w:szCs w:val="24"/>
          <w:lang w:eastAsia="es-ES"/>
        </w:rPr>
        <w:t>interés general</w:t>
      </w:r>
      <w:r w:rsidR="001E3B4F" w:rsidRPr="001D489A">
        <w:rPr>
          <w:rFonts w:ascii="Times New Roman" w:eastAsia="Times New Roman" w:hAnsi="Times New Roman" w:cs="Times New Roman"/>
          <w:bCs/>
          <w:sz w:val="24"/>
          <w:szCs w:val="24"/>
          <w:lang w:eastAsia="es-ES"/>
        </w:rPr>
        <w:t xml:space="preserve">? </w:t>
      </w:r>
    </w:p>
    <w:p w14:paraId="18D45907" w14:textId="77777777" w:rsidR="008D6A3D" w:rsidRDefault="00C4466B" w:rsidP="00C2090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el caso Salas esa pregunta fue ‘resuelta’ </w:t>
      </w:r>
      <w:r w:rsidR="001D489A">
        <w:rPr>
          <w:rFonts w:ascii="Times New Roman" w:hAnsi="Times New Roman" w:cs="Times New Roman"/>
          <w:bCs/>
          <w:sz w:val="24"/>
          <w:szCs w:val="24"/>
        </w:rPr>
        <w:t xml:space="preserve">mediante el </w:t>
      </w:r>
      <w:r w:rsidR="008D6A3D">
        <w:rPr>
          <w:rFonts w:ascii="Times New Roman" w:hAnsi="Times New Roman" w:cs="Times New Roman"/>
          <w:bCs/>
          <w:sz w:val="24"/>
          <w:szCs w:val="24"/>
        </w:rPr>
        <w:t xml:space="preserve">EIAA, a través del cual se realizó un cálculo de costo-beneficio respecto a los servicios ambientales que los bosques proveen. Dicho cálculo se hizo a partir de la cuantificación en unidades monetarias del ‘valor’ que los participantes de los talleres que se hicieron para dicho estudio le asignaron al bosque </w:t>
      </w:r>
      <w:r w:rsidR="008D6A3D">
        <w:rPr>
          <w:rFonts w:ascii="Times New Roman" w:hAnsi="Times New Roman" w:cs="Times New Roman"/>
          <w:bCs/>
          <w:sz w:val="24"/>
          <w:szCs w:val="24"/>
        </w:rPr>
        <w:lastRenderedPageBreak/>
        <w:t>nativo. Hay muchos errores de método en lo</w:t>
      </w:r>
      <w:r w:rsidR="001D489A">
        <w:rPr>
          <w:rFonts w:ascii="Times New Roman" w:hAnsi="Times New Roman" w:cs="Times New Roman"/>
          <w:bCs/>
          <w:sz w:val="24"/>
          <w:szCs w:val="24"/>
        </w:rPr>
        <w:t>s</w:t>
      </w:r>
      <w:r w:rsidR="008D6A3D">
        <w:rPr>
          <w:rFonts w:ascii="Times New Roman" w:hAnsi="Times New Roman" w:cs="Times New Roman"/>
          <w:bCs/>
          <w:sz w:val="24"/>
          <w:szCs w:val="24"/>
        </w:rPr>
        <w:t xml:space="preserve"> que incurre dicho estudio en los cuales no puedo detenerme. Basta con decir que la muestra no era representativa</w:t>
      </w:r>
      <w:r w:rsidR="001E3B4F">
        <w:rPr>
          <w:rFonts w:ascii="Times New Roman" w:hAnsi="Times New Roman" w:cs="Times New Roman"/>
          <w:bCs/>
          <w:sz w:val="24"/>
          <w:szCs w:val="24"/>
        </w:rPr>
        <w:t>, debido a la escasa participación de la población local</w:t>
      </w:r>
      <w:r w:rsidR="008D6A3D">
        <w:rPr>
          <w:rFonts w:ascii="Times New Roman" w:hAnsi="Times New Roman" w:cs="Times New Roman"/>
          <w:bCs/>
          <w:sz w:val="24"/>
          <w:szCs w:val="24"/>
        </w:rPr>
        <w:t>, pero el error más notable</w:t>
      </w:r>
      <w:r w:rsidR="001E3B4F">
        <w:rPr>
          <w:rFonts w:ascii="Times New Roman" w:hAnsi="Times New Roman" w:cs="Times New Roman"/>
          <w:bCs/>
          <w:sz w:val="24"/>
          <w:szCs w:val="24"/>
        </w:rPr>
        <w:t xml:space="preserve"> del Estudio</w:t>
      </w:r>
      <w:r w:rsidR="008D6A3D">
        <w:rPr>
          <w:rFonts w:ascii="Times New Roman" w:hAnsi="Times New Roman" w:cs="Times New Roman"/>
          <w:bCs/>
          <w:sz w:val="24"/>
          <w:szCs w:val="24"/>
        </w:rPr>
        <w:t xml:space="preserve"> es que</w:t>
      </w:r>
      <w:r w:rsidR="001E3B4F">
        <w:rPr>
          <w:rFonts w:ascii="Times New Roman" w:hAnsi="Times New Roman" w:cs="Times New Roman"/>
          <w:bCs/>
          <w:sz w:val="24"/>
          <w:szCs w:val="24"/>
        </w:rPr>
        <w:t xml:space="preserve"> más allá de que por lo </w:t>
      </w:r>
      <w:r w:rsidR="008D6A3D">
        <w:rPr>
          <w:rFonts w:ascii="Times New Roman" w:hAnsi="Times New Roman" w:cs="Times New Roman"/>
          <w:bCs/>
          <w:sz w:val="24"/>
          <w:szCs w:val="24"/>
        </w:rPr>
        <w:t>menos la m</w:t>
      </w:r>
      <w:r w:rsidR="001E3B4F">
        <w:rPr>
          <w:rFonts w:ascii="Times New Roman" w:hAnsi="Times New Roman" w:cs="Times New Roman"/>
          <w:bCs/>
          <w:sz w:val="24"/>
          <w:szCs w:val="24"/>
        </w:rPr>
        <w:t>itad de los encuestados no asig</w:t>
      </w:r>
      <w:r w:rsidR="008D6A3D">
        <w:rPr>
          <w:rFonts w:ascii="Times New Roman" w:hAnsi="Times New Roman" w:cs="Times New Roman"/>
          <w:bCs/>
          <w:sz w:val="24"/>
          <w:szCs w:val="24"/>
        </w:rPr>
        <w:t>n</w:t>
      </w:r>
      <w:r w:rsidR="001E3B4F">
        <w:rPr>
          <w:rFonts w:ascii="Times New Roman" w:hAnsi="Times New Roman" w:cs="Times New Roman"/>
          <w:bCs/>
          <w:sz w:val="24"/>
          <w:szCs w:val="24"/>
        </w:rPr>
        <w:t>a</w:t>
      </w:r>
      <w:r w:rsidR="008D6A3D">
        <w:rPr>
          <w:rFonts w:ascii="Times New Roman" w:hAnsi="Times New Roman" w:cs="Times New Roman"/>
          <w:bCs/>
          <w:sz w:val="24"/>
          <w:szCs w:val="24"/>
        </w:rPr>
        <w:t>ron ningún valor monetario a los bosques, es decir, no estuvieron dispuestos a recibir ninguna compensac</w:t>
      </w:r>
      <w:r w:rsidR="001E3B4F">
        <w:rPr>
          <w:rFonts w:ascii="Times New Roman" w:hAnsi="Times New Roman" w:cs="Times New Roman"/>
          <w:bCs/>
          <w:sz w:val="24"/>
          <w:szCs w:val="24"/>
        </w:rPr>
        <w:t>ión por perder el bosque nativo, de igual manera realizaron los ‘cálculos’ de costo-beneficio: comparando formas de valoración diferentes a través de la reducción de todos al lenguaje monetario.</w:t>
      </w:r>
      <w:r w:rsidR="008D6A3D">
        <w:rPr>
          <w:rFonts w:ascii="Times New Roman" w:hAnsi="Times New Roman" w:cs="Times New Roman"/>
          <w:bCs/>
          <w:sz w:val="24"/>
          <w:szCs w:val="24"/>
        </w:rPr>
        <w:t xml:space="preserve"> </w:t>
      </w:r>
    </w:p>
    <w:p w14:paraId="25681372" w14:textId="77777777" w:rsidR="001E3B4F" w:rsidRDefault="001D489A" w:rsidP="00C2090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 pesar de esto, e</w:t>
      </w:r>
      <w:r w:rsidR="001E3B4F">
        <w:rPr>
          <w:rFonts w:ascii="Times New Roman" w:hAnsi="Times New Roman" w:cs="Times New Roman"/>
          <w:bCs/>
          <w:sz w:val="24"/>
          <w:szCs w:val="24"/>
        </w:rPr>
        <w:t>l EIAA fue aceptado por la Corte en el 2009. A partir de ese momento, la provincia toma una serie de medidas administrativas para acomodarse a la nueva legislación ambiental. Dos años después</w:t>
      </w:r>
      <w:r w:rsidR="00412AE2">
        <w:rPr>
          <w:rFonts w:ascii="Times New Roman" w:hAnsi="Times New Roman" w:cs="Times New Roman"/>
          <w:bCs/>
          <w:sz w:val="24"/>
          <w:szCs w:val="24"/>
        </w:rPr>
        <w:t>,</w:t>
      </w:r>
      <w:r w:rsidR="00852547">
        <w:rPr>
          <w:rFonts w:ascii="Times New Roman" w:hAnsi="Times New Roman" w:cs="Times New Roman"/>
          <w:bCs/>
          <w:sz w:val="24"/>
          <w:szCs w:val="24"/>
        </w:rPr>
        <w:t xml:space="preserve"> en el 2011</w:t>
      </w:r>
      <w:r w:rsidR="001E3B4F">
        <w:rPr>
          <w:rFonts w:ascii="Times New Roman" w:hAnsi="Times New Roman" w:cs="Times New Roman"/>
          <w:bCs/>
          <w:sz w:val="24"/>
          <w:szCs w:val="24"/>
        </w:rPr>
        <w:t xml:space="preserve">, y a pesar de continuas denuncias por parte de </w:t>
      </w:r>
      <w:r w:rsidR="00A422E4">
        <w:rPr>
          <w:rFonts w:ascii="Times New Roman" w:hAnsi="Times New Roman" w:cs="Times New Roman"/>
          <w:bCs/>
          <w:sz w:val="24"/>
          <w:szCs w:val="24"/>
        </w:rPr>
        <w:t>las comunidades</w:t>
      </w:r>
      <w:r w:rsidR="00852547">
        <w:rPr>
          <w:rFonts w:ascii="Times New Roman" w:hAnsi="Times New Roman" w:cs="Times New Roman"/>
          <w:bCs/>
          <w:sz w:val="24"/>
          <w:szCs w:val="24"/>
        </w:rPr>
        <w:t xml:space="preserve"> respecto a las recategorizaciones prediales que la Provincia </w:t>
      </w:r>
      <w:r w:rsidR="00A422E4">
        <w:rPr>
          <w:rFonts w:ascii="Times New Roman" w:hAnsi="Times New Roman" w:cs="Times New Roman"/>
          <w:bCs/>
          <w:sz w:val="24"/>
          <w:szCs w:val="24"/>
        </w:rPr>
        <w:t>autorizaba</w:t>
      </w:r>
      <w:r w:rsidR="00852547">
        <w:rPr>
          <w:rFonts w:ascii="Times New Roman" w:hAnsi="Times New Roman" w:cs="Times New Roman"/>
          <w:bCs/>
          <w:sz w:val="24"/>
          <w:szCs w:val="24"/>
        </w:rPr>
        <w:t xml:space="preserve"> para continuar desmontando, incluso en zonas de categoría I, la Corte decidió declararse incompetente en la causa y la remitió a Salta, argumentando que ya no existía inadecuación entre la normativa provincial y la nacional.</w:t>
      </w:r>
    </w:p>
    <w:p w14:paraId="24BED535" w14:textId="77777777" w:rsidR="00EB73A2" w:rsidRDefault="00EB73A2" w:rsidP="00C20901">
      <w:pPr>
        <w:spacing w:line="360" w:lineRule="auto"/>
        <w:jc w:val="both"/>
        <w:rPr>
          <w:rFonts w:ascii="Times New Roman" w:eastAsia="Times New Roman" w:hAnsi="Times New Roman" w:cs="Times New Roman"/>
          <w:b/>
          <w:bCs/>
          <w:sz w:val="24"/>
          <w:szCs w:val="24"/>
          <w:lang w:eastAsia="es-ES"/>
        </w:rPr>
      </w:pPr>
      <w:r w:rsidRPr="00EB73A2">
        <w:rPr>
          <w:rFonts w:ascii="Times New Roman" w:eastAsia="Times New Roman" w:hAnsi="Times New Roman" w:cs="Times New Roman"/>
          <w:b/>
          <w:bCs/>
          <w:sz w:val="24"/>
          <w:szCs w:val="24"/>
          <w:lang w:eastAsia="es-ES"/>
        </w:rPr>
        <w:t>Reflexiones finales</w:t>
      </w:r>
    </w:p>
    <w:p w14:paraId="48060F18" w14:textId="77777777" w:rsidR="006A10DA" w:rsidRDefault="00A422E4" w:rsidP="00C20901">
      <w:pPr>
        <w:spacing w:line="360" w:lineRule="auto"/>
        <w:jc w:val="both"/>
        <w:rPr>
          <w:rFonts w:ascii="Times New Roman" w:eastAsia="Calibri" w:hAnsi="Times New Roman" w:cs="Times New Roman"/>
          <w:sz w:val="24"/>
          <w:szCs w:val="24"/>
          <w:lang w:val="es-ES"/>
        </w:rPr>
      </w:pPr>
      <w:r w:rsidRPr="00A422E4">
        <w:rPr>
          <w:rFonts w:ascii="Times New Roman" w:eastAsia="Times New Roman" w:hAnsi="Times New Roman" w:cs="Times New Roman"/>
          <w:bCs/>
          <w:sz w:val="24"/>
          <w:szCs w:val="24"/>
          <w:lang w:eastAsia="es-ES"/>
        </w:rPr>
        <w:t>El objetivo de mi investigación fue analizar</w:t>
      </w:r>
      <w:r>
        <w:rPr>
          <w:rFonts w:ascii="Times New Roman" w:eastAsia="Times New Roman" w:hAnsi="Times New Roman" w:cs="Times New Roman"/>
          <w:bCs/>
          <w:sz w:val="24"/>
          <w:szCs w:val="24"/>
          <w:lang w:eastAsia="es-ES"/>
        </w:rPr>
        <w:t>, a partir del caso ‘Salas’, los mecanismos</w:t>
      </w:r>
      <w:r w:rsidRPr="00A71F0B">
        <w:rPr>
          <w:rFonts w:ascii="Times New Roman" w:hAnsi="Times New Roman" w:cs="Times New Roman"/>
          <w:sz w:val="24"/>
          <w:szCs w:val="24"/>
        </w:rPr>
        <w:t>, tecnologías y discursos</w:t>
      </w:r>
      <w:r>
        <w:rPr>
          <w:rFonts w:ascii="Times New Roman" w:hAnsi="Times New Roman" w:cs="Times New Roman"/>
          <w:sz w:val="24"/>
          <w:szCs w:val="24"/>
        </w:rPr>
        <w:t xml:space="preserve"> mediante los cuales</w:t>
      </w:r>
      <w:r w:rsidRPr="00A71F0B">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5C402E">
        <w:rPr>
          <w:rFonts w:ascii="Times New Roman" w:hAnsi="Times New Roman" w:cs="Times New Roman"/>
          <w:sz w:val="24"/>
          <w:szCs w:val="24"/>
        </w:rPr>
        <w:t>legitima</w:t>
      </w:r>
      <w:r>
        <w:rPr>
          <w:rFonts w:ascii="Times New Roman" w:hAnsi="Times New Roman" w:cs="Times New Roman"/>
          <w:sz w:val="24"/>
          <w:szCs w:val="24"/>
        </w:rPr>
        <w:t>n</w:t>
      </w:r>
      <w:r w:rsidRPr="00A71F0B">
        <w:rPr>
          <w:rFonts w:ascii="Times New Roman" w:hAnsi="Times New Roman" w:cs="Times New Roman"/>
          <w:sz w:val="24"/>
          <w:szCs w:val="24"/>
        </w:rPr>
        <w:t xml:space="preserve"> determinadas </w:t>
      </w:r>
      <w:r>
        <w:rPr>
          <w:rFonts w:ascii="Times New Roman" w:hAnsi="Times New Roman" w:cs="Times New Roman"/>
          <w:sz w:val="24"/>
          <w:szCs w:val="24"/>
        </w:rPr>
        <w:t xml:space="preserve">políticas referidas al ambiente, específicamente sobre los bosques nativos. </w:t>
      </w:r>
      <w:r w:rsidR="0042327C">
        <w:rPr>
          <w:rFonts w:ascii="Times New Roman" w:hAnsi="Times New Roman" w:cs="Times New Roman"/>
          <w:sz w:val="24"/>
          <w:szCs w:val="24"/>
        </w:rPr>
        <w:t>Entendiendo, como ya mencioné</w:t>
      </w:r>
      <w:r w:rsidR="00A21EE4">
        <w:rPr>
          <w:rFonts w:ascii="Times New Roman" w:hAnsi="Times New Roman" w:cs="Times New Roman"/>
          <w:sz w:val="24"/>
          <w:szCs w:val="24"/>
        </w:rPr>
        <w:t xml:space="preserve">, que la </w:t>
      </w:r>
      <w:r w:rsidR="00062041">
        <w:rPr>
          <w:rFonts w:ascii="Times New Roman" w:hAnsi="Times New Roman" w:cs="Times New Roman"/>
          <w:sz w:val="24"/>
          <w:szCs w:val="24"/>
        </w:rPr>
        <w:t>etnografía</w:t>
      </w:r>
      <w:r w:rsidR="00A21EE4">
        <w:rPr>
          <w:rFonts w:ascii="Times New Roman" w:hAnsi="Times New Roman" w:cs="Times New Roman"/>
          <w:sz w:val="24"/>
          <w:szCs w:val="24"/>
        </w:rPr>
        <w:t xml:space="preserve"> no es un método sino un enfoque teórico-metodológico, su resultado consiste en una suerte de ‘descripción teóricamente informada’ (Rockwell 2009). En efecto, fue a la </w:t>
      </w:r>
      <w:r>
        <w:rPr>
          <w:rFonts w:ascii="Times New Roman" w:hAnsi="Times New Roman" w:cs="Times New Roman"/>
          <w:bCs/>
          <w:sz w:val="24"/>
          <w:szCs w:val="24"/>
        </w:rPr>
        <w:t>luz de la perspectiva teórica</w:t>
      </w:r>
      <w:r w:rsidR="00A21EE4">
        <w:rPr>
          <w:rFonts w:ascii="Times New Roman" w:hAnsi="Times New Roman" w:cs="Times New Roman"/>
          <w:bCs/>
          <w:sz w:val="24"/>
          <w:szCs w:val="24"/>
        </w:rPr>
        <w:t>, de entender al Estado como manipulador de intereses (Foucault 2007),</w:t>
      </w:r>
      <w:r>
        <w:rPr>
          <w:rFonts w:ascii="Times New Roman" w:hAnsi="Times New Roman" w:cs="Times New Roman"/>
          <w:bCs/>
          <w:sz w:val="24"/>
          <w:szCs w:val="24"/>
        </w:rPr>
        <w:t xml:space="preserve"> </w:t>
      </w:r>
      <w:r w:rsidR="00A21EE4">
        <w:rPr>
          <w:rFonts w:ascii="Times New Roman" w:hAnsi="Times New Roman" w:cs="Times New Roman"/>
          <w:bCs/>
          <w:sz w:val="24"/>
          <w:szCs w:val="24"/>
        </w:rPr>
        <w:t xml:space="preserve">que </w:t>
      </w:r>
      <w:r>
        <w:rPr>
          <w:rFonts w:ascii="Times New Roman" w:hAnsi="Times New Roman" w:cs="Times New Roman"/>
          <w:bCs/>
          <w:sz w:val="24"/>
          <w:szCs w:val="24"/>
        </w:rPr>
        <w:t xml:space="preserve">me fue posible comprender el escenario de la causa como uno donde se estaban </w:t>
      </w:r>
      <w:r w:rsidR="00452708">
        <w:rPr>
          <w:rFonts w:ascii="Times New Roman" w:hAnsi="Times New Roman" w:cs="Times New Roman"/>
          <w:bCs/>
          <w:sz w:val="24"/>
          <w:szCs w:val="24"/>
        </w:rPr>
        <w:t>disputando</w:t>
      </w:r>
      <w:r>
        <w:rPr>
          <w:rFonts w:ascii="Times New Roman" w:hAnsi="Times New Roman" w:cs="Times New Roman"/>
          <w:bCs/>
          <w:sz w:val="24"/>
          <w:szCs w:val="24"/>
        </w:rPr>
        <w:t xml:space="preserve"> los intereses que debían prevalecer para ‘calcular’ el interés general que, en última instancia, debía prevalecer a la hora de definir el destino de los bosques nativos. </w:t>
      </w:r>
      <w:r w:rsidR="00A21EE4">
        <w:rPr>
          <w:rFonts w:ascii="Times New Roman" w:hAnsi="Times New Roman" w:cs="Times New Roman"/>
          <w:bCs/>
          <w:sz w:val="24"/>
          <w:szCs w:val="24"/>
        </w:rPr>
        <w:t>Entendí que, si bien nunca se planteó en esos términos, s</w:t>
      </w:r>
      <w:r>
        <w:rPr>
          <w:rFonts w:ascii="Times New Roman" w:hAnsi="Times New Roman" w:cs="Times New Roman"/>
          <w:bCs/>
          <w:sz w:val="24"/>
          <w:szCs w:val="24"/>
        </w:rPr>
        <w:t>e estaba discutiendo, a fin de cuentas, qué interés, o grupo de intereses diferentes, eran más acordes al interés general y cuál debía ser ese interés general.</w:t>
      </w:r>
      <w:r w:rsidR="006A10DA">
        <w:rPr>
          <w:rFonts w:ascii="Times New Roman" w:hAnsi="Times New Roman" w:cs="Times New Roman"/>
          <w:bCs/>
          <w:sz w:val="24"/>
          <w:szCs w:val="24"/>
        </w:rPr>
        <w:t xml:space="preserve"> </w:t>
      </w:r>
      <w:r w:rsidR="006A10DA">
        <w:rPr>
          <w:rFonts w:ascii="Times New Roman" w:eastAsia="Calibri" w:hAnsi="Times New Roman" w:cs="Times New Roman"/>
          <w:sz w:val="24"/>
          <w:szCs w:val="24"/>
          <w:lang w:val="es-ES"/>
        </w:rPr>
        <w:t>El concepto de servicios ambientales, tal cual es definido en la Ley de Bosques, asocia a los bosques nativos con la concepción de ‘interés difuso’, un interés compartido por todos los miembros de la comunidad nacional.</w:t>
      </w:r>
    </w:p>
    <w:p w14:paraId="2B7DF871" w14:textId="77777777" w:rsidR="00A87A80" w:rsidRDefault="00452708" w:rsidP="00C20901">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lastRenderedPageBreak/>
        <w:t xml:space="preserve">Considero que </w:t>
      </w:r>
      <w:r w:rsidR="000E49CD">
        <w:rPr>
          <w:rFonts w:ascii="Times New Roman" w:eastAsia="Calibri" w:hAnsi="Times New Roman" w:cs="Times New Roman"/>
          <w:sz w:val="24"/>
          <w:szCs w:val="24"/>
          <w:lang w:val="es-ES"/>
        </w:rPr>
        <w:t xml:space="preserve">la categoría jurídica de </w:t>
      </w:r>
      <w:r w:rsidR="00A87A80">
        <w:rPr>
          <w:rFonts w:ascii="Times New Roman" w:eastAsia="Calibri" w:hAnsi="Times New Roman" w:cs="Times New Roman"/>
          <w:sz w:val="24"/>
          <w:szCs w:val="24"/>
          <w:lang w:val="es-ES"/>
        </w:rPr>
        <w:t>‘servicios ambientales’</w:t>
      </w:r>
      <w:r>
        <w:rPr>
          <w:rFonts w:ascii="Times New Roman" w:eastAsia="Calibri" w:hAnsi="Times New Roman" w:cs="Times New Roman"/>
          <w:sz w:val="24"/>
          <w:szCs w:val="24"/>
          <w:lang w:val="es-ES"/>
        </w:rPr>
        <w:t>,</w:t>
      </w:r>
      <w:r w:rsidR="000E49CD">
        <w:rPr>
          <w:rFonts w:ascii="Times New Roman" w:eastAsia="Calibri" w:hAnsi="Times New Roman" w:cs="Times New Roman"/>
          <w:sz w:val="24"/>
          <w:szCs w:val="24"/>
          <w:lang w:val="es-ES"/>
        </w:rPr>
        <w:t xml:space="preserve"> por presentarse como fundada en conocimientos técnico-científicos, contribuye a legitimar </w:t>
      </w:r>
      <w:r w:rsidR="000E49CD" w:rsidRPr="005C402E">
        <w:rPr>
          <w:rFonts w:ascii="Times New Roman" w:eastAsia="Calibri" w:hAnsi="Times New Roman" w:cs="Times New Roman"/>
          <w:sz w:val="24"/>
          <w:szCs w:val="24"/>
          <w:lang w:val="es-ES"/>
        </w:rPr>
        <w:t>que el ambiente pase sea a ser obje</w:t>
      </w:r>
      <w:r w:rsidR="000E49CD">
        <w:rPr>
          <w:rFonts w:ascii="Times New Roman" w:eastAsia="Calibri" w:hAnsi="Times New Roman" w:cs="Times New Roman"/>
          <w:sz w:val="24"/>
          <w:szCs w:val="24"/>
          <w:lang w:val="es-ES"/>
        </w:rPr>
        <w:t xml:space="preserve">to de regulación estatal: el Estado </w:t>
      </w:r>
      <w:r w:rsidR="000E49CD" w:rsidRPr="000E49CD">
        <w:rPr>
          <w:rFonts w:ascii="Times New Roman" w:eastAsia="Calibri" w:hAnsi="Times New Roman" w:cs="Times New Roman"/>
          <w:i/>
          <w:sz w:val="24"/>
          <w:szCs w:val="24"/>
          <w:lang w:val="es-ES"/>
        </w:rPr>
        <w:t>debe</w:t>
      </w:r>
      <w:r w:rsidR="000E49CD">
        <w:rPr>
          <w:rFonts w:ascii="Times New Roman" w:eastAsia="Calibri" w:hAnsi="Times New Roman" w:cs="Times New Roman"/>
          <w:sz w:val="24"/>
          <w:szCs w:val="24"/>
          <w:lang w:val="es-ES"/>
        </w:rPr>
        <w:t xml:space="preserve"> preservar esos servicios ambientales, cuya utilidad para la humanidad la ciencia ha descubierto. </w:t>
      </w:r>
      <w:r w:rsidR="00A87A80">
        <w:rPr>
          <w:rFonts w:ascii="Times New Roman" w:eastAsia="Calibri" w:hAnsi="Times New Roman" w:cs="Times New Roman"/>
          <w:sz w:val="24"/>
          <w:szCs w:val="24"/>
          <w:lang w:val="es-ES"/>
        </w:rPr>
        <w:t xml:space="preserve">Sostengo que </w:t>
      </w:r>
      <w:r w:rsidR="000E49CD">
        <w:rPr>
          <w:rFonts w:ascii="Times New Roman" w:eastAsia="Calibri" w:hAnsi="Times New Roman" w:cs="Times New Roman"/>
          <w:sz w:val="24"/>
          <w:szCs w:val="24"/>
          <w:lang w:val="es-ES"/>
        </w:rPr>
        <w:t>dicha</w:t>
      </w:r>
      <w:r w:rsidR="00A87A80">
        <w:rPr>
          <w:rFonts w:ascii="Times New Roman" w:eastAsia="Calibri" w:hAnsi="Times New Roman" w:cs="Times New Roman"/>
          <w:sz w:val="24"/>
          <w:szCs w:val="24"/>
          <w:lang w:val="es-ES"/>
        </w:rPr>
        <w:t xml:space="preserve"> regulación supone una forma de apropiación territorial por parte del Estado en sus diversas </w:t>
      </w:r>
      <w:r w:rsidR="00A87A80" w:rsidRPr="005C402E">
        <w:rPr>
          <w:rFonts w:ascii="Times New Roman" w:eastAsia="Calibri" w:hAnsi="Times New Roman" w:cs="Times New Roman"/>
          <w:sz w:val="24"/>
          <w:szCs w:val="24"/>
          <w:lang w:val="es-ES"/>
        </w:rPr>
        <w:t>instancias</w:t>
      </w:r>
      <w:r w:rsidR="00A87A80">
        <w:rPr>
          <w:rFonts w:ascii="Times New Roman" w:eastAsia="Calibri" w:hAnsi="Times New Roman" w:cs="Times New Roman"/>
          <w:sz w:val="24"/>
          <w:szCs w:val="24"/>
          <w:lang w:val="es-ES"/>
        </w:rPr>
        <w:t xml:space="preserve"> (nacional, provincial y local), pues, como manifiesta el caso ‘Salas’, al regular los usos sobre el recurso ‘bosque nativo’, limita el derecho a la propiedad de la tierra, </w:t>
      </w:r>
      <w:r w:rsidR="006807FF">
        <w:rPr>
          <w:rFonts w:ascii="Times New Roman" w:eastAsia="Calibri" w:hAnsi="Times New Roman" w:cs="Times New Roman"/>
          <w:sz w:val="24"/>
          <w:szCs w:val="24"/>
          <w:lang w:val="es-ES"/>
        </w:rPr>
        <w:t>sea esta privada o comunitaria, y con ello limita la libertad/autonomía de las personas para decidir sobre los usos que necesitan o quieren hacer de ella.</w:t>
      </w:r>
    </w:p>
    <w:p w14:paraId="1AB0D009" w14:textId="77777777" w:rsidR="00A87A80" w:rsidRDefault="00A87A80" w:rsidP="00C20901">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este sentido, sugiero que estamos ante una nueva forma de apropiación, ni pública ni privada. Parafraseando a Brow (1990), se trata de una </w:t>
      </w:r>
      <w:r w:rsidRPr="00835171">
        <w:rPr>
          <w:rFonts w:ascii="Times New Roman" w:eastAsia="Calibri" w:hAnsi="Times New Roman" w:cs="Times New Roman"/>
          <w:b/>
          <w:i/>
          <w:sz w:val="24"/>
          <w:szCs w:val="24"/>
          <w:lang w:val="es-ES"/>
        </w:rPr>
        <w:t>comunalización</w:t>
      </w:r>
      <w:r w:rsidRPr="00F07757">
        <w:rPr>
          <w:rFonts w:ascii="Times New Roman" w:eastAsia="Calibri" w:hAnsi="Times New Roman" w:cs="Times New Roman"/>
          <w:sz w:val="24"/>
          <w:szCs w:val="24"/>
          <w:lang w:val="es-ES"/>
        </w:rPr>
        <w:t>,</w:t>
      </w:r>
      <w:r>
        <w:rPr>
          <w:rFonts w:ascii="Times New Roman" w:eastAsia="Calibri" w:hAnsi="Times New Roman" w:cs="Times New Roman"/>
          <w:i/>
          <w:sz w:val="24"/>
          <w:szCs w:val="24"/>
          <w:lang w:val="es-ES"/>
        </w:rPr>
        <w:t xml:space="preserve"> </w:t>
      </w:r>
      <w:r>
        <w:rPr>
          <w:rFonts w:ascii="Times New Roman" w:eastAsia="Calibri" w:hAnsi="Times New Roman" w:cs="Times New Roman"/>
          <w:sz w:val="24"/>
          <w:szCs w:val="24"/>
          <w:lang w:val="es-ES"/>
        </w:rPr>
        <w:t xml:space="preserve">a partir de la cual se legitima, desde el lenguaje jurídico, la preeminencia de un </w:t>
      </w:r>
      <w:r w:rsidRPr="000E49CD">
        <w:rPr>
          <w:rFonts w:ascii="Times New Roman" w:eastAsia="Calibri" w:hAnsi="Times New Roman" w:cs="Times New Roman"/>
          <w:sz w:val="24"/>
          <w:szCs w:val="24"/>
          <w:lang w:val="es-ES"/>
        </w:rPr>
        <w:t>interés difuso</w:t>
      </w:r>
      <w:r>
        <w:rPr>
          <w:rFonts w:ascii="Times New Roman" w:eastAsia="Calibri" w:hAnsi="Times New Roman" w:cs="Times New Roman"/>
          <w:sz w:val="24"/>
          <w:szCs w:val="24"/>
          <w:lang w:val="es-ES"/>
        </w:rPr>
        <w:t xml:space="preserve">. </w:t>
      </w:r>
    </w:p>
    <w:p w14:paraId="0C29999A" w14:textId="77777777" w:rsidR="00A21EE4" w:rsidRPr="00C4466B" w:rsidRDefault="00A87A80" w:rsidP="00C20901">
      <w:pPr>
        <w:spacing w:line="360" w:lineRule="auto"/>
        <w:jc w:val="both"/>
        <w:rPr>
          <w:rFonts w:ascii="Times New Roman" w:hAnsi="Times New Roman" w:cs="Times New Roman"/>
          <w:bCs/>
          <w:sz w:val="24"/>
          <w:szCs w:val="24"/>
        </w:rPr>
      </w:pPr>
      <w:r w:rsidRPr="00577042">
        <w:rPr>
          <w:rFonts w:ascii="Times New Roman" w:eastAsia="Calibri" w:hAnsi="Times New Roman" w:cs="Times New Roman"/>
          <w:sz w:val="24"/>
          <w:szCs w:val="24"/>
          <w:lang w:val="es-ES"/>
        </w:rPr>
        <w:t xml:space="preserve">Sin embargo, </w:t>
      </w:r>
      <w:r>
        <w:rPr>
          <w:rFonts w:ascii="Times New Roman" w:eastAsia="Calibri" w:hAnsi="Times New Roman" w:cs="Times New Roman"/>
          <w:sz w:val="24"/>
          <w:szCs w:val="24"/>
          <w:lang w:val="es-ES"/>
        </w:rPr>
        <w:t xml:space="preserve">lo que también demuestra el caso ‘Salas’ es que el </w:t>
      </w:r>
      <w:r w:rsidRPr="006D1B8F">
        <w:rPr>
          <w:rFonts w:ascii="Times New Roman" w:eastAsia="Calibri" w:hAnsi="Times New Roman" w:cs="Times New Roman"/>
          <w:sz w:val="24"/>
          <w:szCs w:val="24"/>
        </w:rPr>
        <w:t>sentido de ‘utilidad’ del bosque nativo en tanto servicios ambientales es objeto de disputa</w:t>
      </w:r>
      <w:r>
        <w:rPr>
          <w:rFonts w:ascii="Times New Roman" w:eastAsia="Calibri" w:hAnsi="Times New Roman" w:cs="Times New Roman"/>
          <w:sz w:val="24"/>
          <w:szCs w:val="24"/>
        </w:rPr>
        <w:t>. S</w:t>
      </w:r>
      <w:r w:rsidRPr="006D1B8F">
        <w:rPr>
          <w:rFonts w:ascii="Times New Roman" w:eastAsia="Calibri" w:hAnsi="Times New Roman" w:cs="Times New Roman"/>
          <w:sz w:val="24"/>
          <w:szCs w:val="24"/>
        </w:rPr>
        <w:t xml:space="preserve">i bien </w:t>
      </w:r>
      <w:r>
        <w:rPr>
          <w:rFonts w:ascii="Times New Roman" w:eastAsia="Calibri" w:hAnsi="Times New Roman" w:cs="Times New Roman"/>
          <w:sz w:val="24"/>
          <w:szCs w:val="24"/>
        </w:rPr>
        <w:t xml:space="preserve">en la </w:t>
      </w:r>
      <w:r w:rsidRPr="006D1B8F">
        <w:rPr>
          <w:rFonts w:ascii="Times New Roman" w:eastAsia="Calibri" w:hAnsi="Times New Roman" w:cs="Times New Roman"/>
          <w:sz w:val="24"/>
          <w:szCs w:val="24"/>
        </w:rPr>
        <w:t xml:space="preserve">causa judicial </w:t>
      </w:r>
      <w:r>
        <w:rPr>
          <w:rFonts w:ascii="Times New Roman" w:eastAsia="Calibri" w:hAnsi="Times New Roman" w:cs="Times New Roman"/>
          <w:sz w:val="24"/>
          <w:szCs w:val="24"/>
        </w:rPr>
        <w:t>el conflicto se presenta como uno que enfrenta a</w:t>
      </w:r>
      <w:r w:rsidRPr="006D1B8F">
        <w:rPr>
          <w:rFonts w:ascii="Times New Roman" w:eastAsia="Calibri" w:hAnsi="Times New Roman" w:cs="Times New Roman"/>
          <w:sz w:val="24"/>
          <w:szCs w:val="24"/>
        </w:rPr>
        <w:t xml:space="preserve"> las comu</w:t>
      </w:r>
      <w:r>
        <w:rPr>
          <w:rFonts w:ascii="Times New Roman" w:eastAsia="Calibri" w:hAnsi="Times New Roman" w:cs="Times New Roman"/>
          <w:sz w:val="24"/>
          <w:szCs w:val="24"/>
        </w:rPr>
        <w:t>nidades indígenas y criollas con</w:t>
      </w:r>
      <w:r w:rsidRPr="006D1B8F">
        <w:rPr>
          <w:rFonts w:ascii="Times New Roman" w:eastAsia="Calibri" w:hAnsi="Times New Roman" w:cs="Times New Roman"/>
          <w:sz w:val="24"/>
          <w:szCs w:val="24"/>
        </w:rPr>
        <w:t xml:space="preserve"> sectores del gobierno nacional y provincial, la disputa de fondo es entre </w:t>
      </w:r>
      <w:r>
        <w:rPr>
          <w:rFonts w:ascii="Times New Roman" w:eastAsia="Calibri" w:hAnsi="Times New Roman" w:cs="Times New Roman"/>
          <w:sz w:val="24"/>
          <w:szCs w:val="24"/>
        </w:rPr>
        <w:t xml:space="preserve">aquellas comunidades </w:t>
      </w:r>
      <w:r w:rsidRPr="006D1B8F">
        <w:rPr>
          <w:rFonts w:ascii="Times New Roman" w:eastAsia="Calibri" w:hAnsi="Times New Roman" w:cs="Times New Roman"/>
          <w:sz w:val="24"/>
          <w:szCs w:val="24"/>
        </w:rPr>
        <w:t>y los diversos se</w:t>
      </w:r>
      <w:r w:rsidRPr="006E7FD9">
        <w:rPr>
          <w:rFonts w:ascii="Times New Roman" w:eastAsia="Calibri" w:hAnsi="Times New Roman" w:cs="Times New Roman"/>
          <w:sz w:val="24"/>
          <w:szCs w:val="24"/>
        </w:rPr>
        <w:t>ctores productivos capitalistas, (especialmente maderero y agrícola-ganadero) que se han visto beneficiados por las políticas de dichos sectores del gobierno. Para criollos e indígenas el bosque nativo es concebido ante todo como lugar de vida: provee bienes materiales concretos para la reproducción socio-cultural.  Para los segundos (productores capitalistas),</w:t>
      </w:r>
      <w:r>
        <w:rPr>
          <w:rFonts w:ascii="Times New Roman" w:eastAsia="Calibri" w:hAnsi="Times New Roman" w:cs="Times New Roman"/>
          <w:sz w:val="24"/>
          <w:szCs w:val="24"/>
        </w:rPr>
        <w:t xml:space="preserve"> el bosque nativo es recurso de acumulación</w:t>
      </w:r>
      <w:r w:rsidRPr="006D1B8F">
        <w:rPr>
          <w:rFonts w:ascii="Times New Roman" w:eastAsia="Calibri" w:hAnsi="Times New Roman" w:cs="Times New Roman"/>
          <w:sz w:val="24"/>
          <w:szCs w:val="24"/>
        </w:rPr>
        <w:t xml:space="preserve">: provee </w:t>
      </w:r>
      <w:r>
        <w:rPr>
          <w:rFonts w:ascii="Times New Roman" w:eastAsia="Calibri" w:hAnsi="Times New Roman" w:cs="Times New Roman"/>
          <w:sz w:val="24"/>
          <w:szCs w:val="24"/>
        </w:rPr>
        <w:t xml:space="preserve">recursos </w:t>
      </w:r>
      <w:r w:rsidRPr="006D1B8F">
        <w:rPr>
          <w:rFonts w:ascii="Times New Roman" w:eastAsia="Calibri" w:hAnsi="Times New Roman" w:cs="Times New Roman"/>
          <w:sz w:val="24"/>
          <w:szCs w:val="24"/>
        </w:rPr>
        <w:t>y servicios ambientales (condiciones de producción) necesarios para sostener las respectivas actividades productivas. Los primeros tienen como objetivo primordial sostener sus respectivas formas de vida. Los segundos tienen como principal objetivo la obtención de ganancia. Lo que se disputan es cuál de estas actividades comporta la mayor ‘utilidad’, es decir, cuál de estas actividades es mejor para el ‘bienestar general’ de la nación. En otros términos, cuáles son los intereses particulares que más utilidad generan a la sociedad.</w:t>
      </w:r>
      <w:r>
        <w:rPr>
          <w:rFonts w:ascii="Times New Roman" w:eastAsia="Calibri" w:hAnsi="Times New Roman" w:cs="Times New Roman"/>
          <w:sz w:val="24"/>
          <w:szCs w:val="24"/>
        </w:rPr>
        <w:t xml:space="preserve"> De esta manera están disputando el peso que sus respectivos intereses tendrán en el cálculo del ‘interés general’.</w:t>
      </w:r>
    </w:p>
    <w:p w14:paraId="32F6627E" w14:textId="77777777" w:rsidR="00EB73A2" w:rsidRDefault="00ED2A41" w:rsidP="00C20901">
      <w:pPr>
        <w:spacing w:line="360" w:lineRule="auto"/>
        <w:rPr>
          <w:rFonts w:ascii="Times New Roman" w:hAnsi="Times New Roman" w:cs="Times New Roman"/>
          <w:b/>
          <w:sz w:val="24"/>
          <w:szCs w:val="24"/>
        </w:rPr>
      </w:pPr>
      <w:r>
        <w:rPr>
          <w:rFonts w:ascii="Times New Roman" w:hAnsi="Times New Roman" w:cs="Times New Roman"/>
          <w:b/>
          <w:sz w:val="24"/>
          <w:szCs w:val="24"/>
        </w:rPr>
        <w:t>Bibliog</w:t>
      </w:r>
      <w:r w:rsidR="0039109D" w:rsidRPr="0039109D">
        <w:rPr>
          <w:rFonts w:ascii="Times New Roman" w:hAnsi="Times New Roman" w:cs="Times New Roman"/>
          <w:b/>
          <w:sz w:val="24"/>
          <w:szCs w:val="24"/>
        </w:rPr>
        <w:t>r</w:t>
      </w:r>
      <w:r>
        <w:rPr>
          <w:rFonts w:ascii="Times New Roman" w:hAnsi="Times New Roman" w:cs="Times New Roman"/>
          <w:b/>
          <w:sz w:val="24"/>
          <w:szCs w:val="24"/>
        </w:rPr>
        <w:t>a</w:t>
      </w:r>
      <w:r w:rsidR="0039109D" w:rsidRPr="0039109D">
        <w:rPr>
          <w:rFonts w:ascii="Times New Roman" w:hAnsi="Times New Roman" w:cs="Times New Roman"/>
          <w:b/>
          <w:sz w:val="24"/>
          <w:szCs w:val="24"/>
        </w:rPr>
        <w:t>fía</w:t>
      </w:r>
    </w:p>
    <w:p w14:paraId="312D426F" w14:textId="77777777" w:rsidR="00ED2A41" w:rsidRPr="006A0D6D" w:rsidRDefault="00ED2A41" w:rsidP="00C20901">
      <w:pPr>
        <w:spacing w:after="0" w:line="360" w:lineRule="auto"/>
        <w:ind w:left="709" w:hanging="709"/>
        <w:rPr>
          <w:rFonts w:ascii="Times New Roman" w:hAnsi="Times New Roman" w:cs="Times New Roman"/>
          <w:i/>
          <w:sz w:val="24"/>
          <w:szCs w:val="24"/>
        </w:rPr>
      </w:pPr>
      <w:r w:rsidRPr="006A0D6D">
        <w:rPr>
          <w:rFonts w:ascii="Times New Roman" w:hAnsi="Times New Roman" w:cs="Times New Roman"/>
          <w:sz w:val="24"/>
          <w:szCs w:val="24"/>
        </w:rPr>
        <w:lastRenderedPageBreak/>
        <w:t>Abrams, Philip. 1988. “Notas sobre la dificultad de estudiar el Estado”. En: Rafael Macía Mejía y Orlando Jaramillo Gómez (trad.)</w:t>
      </w:r>
      <w:r w:rsidRPr="006A0D6D">
        <w:rPr>
          <w:rFonts w:ascii="Times New Roman" w:hAnsi="Times New Roman" w:cs="Times New Roman"/>
          <w:i/>
          <w:sz w:val="24"/>
          <w:szCs w:val="24"/>
        </w:rPr>
        <w:t xml:space="preserve"> Revista Virajes </w:t>
      </w:r>
      <w:r w:rsidRPr="006A0D6D">
        <w:rPr>
          <w:rFonts w:ascii="Times New Roman" w:hAnsi="Times New Roman" w:cs="Times New Roman"/>
          <w:sz w:val="24"/>
          <w:szCs w:val="24"/>
        </w:rPr>
        <w:t>pp.</w:t>
      </w:r>
      <w:r w:rsidRPr="006A0D6D">
        <w:rPr>
          <w:rFonts w:ascii="Times New Roman" w:hAnsi="Times New Roman" w:cs="Times New Roman"/>
          <w:i/>
          <w:sz w:val="24"/>
          <w:szCs w:val="24"/>
        </w:rPr>
        <w:t xml:space="preserve"> 79-98</w:t>
      </w:r>
    </w:p>
    <w:p w14:paraId="305A5AD1" w14:textId="77777777" w:rsidR="00ED2A41" w:rsidRPr="006A0D6D" w:rsidRDefault="00ED2A41" w:rsidP="00C20901">
      <w:pPr>
        <w:spacing w:after="0" w:line="360" w:lineRule="auto"/>
        <w:ind w:left="709" w:hanging="709"/>
        <w:rPr>
          <w:rFonts w:ascii="Times New Roman" w:hAnsi="Times New Roman" w:cs="Times New Roman"/>
          <w:sz w:val="24"/>
          <w:szCs w:val="24"/>
        </w:rPr>
      </w:pPr>
      <w:r w:rsidRPr="006A0D6D">
        <w:rPr>
          <w:rFonts w:ascii="Times New Roman" w:eastAsia="Calibri" w:hAnsi="Times New Roman" w:cs="Times New Roman"/>
          <w:sz w:val="24"/>
          <w:szCs w:val="24"/>
        </w:rPr>
        <w:t xml:space="preserve">Anderson, Benedict (1993) </w:t>
      </w:r>
      <w:r w:rsidRPr="006A0D6D">
        <w:rPr>
          <w:rFonts w:ascii="Times New Roman" w:eastAsia="Calibri" w:hAnsi="Times New Roman" w:cs="Times New Roman"/>
          <w:i/>
          <w:sz w:val="24"/>
          <w:szCs w:val="24"/>
        </w:rPr>
        <w:t xml:space="preserve">Comunidades Imaginadas. Reflexiones sobre el origen y la difusión del nacionalismo. </w:t>
      </w:r>
      <w:r w:rsidRPr="006A0D6D">
        <w:rPr>
          <w:rFonts w:ascii="Times New Roman" w:eastAsia="Calibri" w:hAnsi="Times New Roman" w:cs="Times New Roman"/>
          <w:sz w:val="24"/>
          <w:szCs w:val="24"/>
        </w:rPr>
        <w:t>México: Fondo de Cultura Económica</w:t>
      </w:r>
      <w:r w:rsidRPr="006A0D6D">
        <w:rPr>
          <w:rFonts w:ascii="Times New Roman" w:hAnsi="Times New Roman" w:cs="Times New Roman"/>
          <w:sz w:val="24"/>
          <w:szCs w:val="24"/>
        </w:rPr>
        <w:t xml:space="preserve"> </w:t>
      </w:r>
    </w:p>
    <w:p w14:paraId="155ACA23" w14:textId="77777777" w:rsidR="00ED2A41" w:rsidRPr="006A0D6D" w:rsidRDefault="00ED2A41" w:rsidP="00C20901">
      <w:pPr>
        <w:spacing w:after="0" w:line="360" w:lineRule="auto"/>
        <w:ind w:left="709" w:hanging="709"/>
        <w:rPr>
          <w:rFonts w:ascii="Times New Roman" w:hAnsi="Times New Roman" w:cs="Times New Roman"/>
          <w:sz w:val="24"/>
          <w:szCs w:val="24"/>
        </w:rPr>
      </w:pPr>
      <w:r w:rsidRPr="006A0D6D">
        <w:rPr>
          <w:rFonts w:ascii="Times New Roman" w:hAnsi="Times New Roman" w:cs="Times New Roman"/>
          <w:sz w:val="24"/>
          <w:szCs w:val="24"/>
        </w:rPr>
        <w:t xml:space="preserve">Balbi, Fernando Alberto (2008) “La perspectiva etnográfica en los estudios sobre política, Estado y gobierno”, </w:t>
      </w:r>
      <w:r w:rsidRPr="006A0D6D">
        <w:rPr>
          <w:rFonts w:ascii="Times New Roman" w:hAnsi="Times New Roman" w:cs="Times New Roman"/>
          <w:i/>
          <w:sz w:val="24"/>
          <w:szCs w:val="24"/>
        </w:rPr>
        <w:t xml:space="preserve">Cuadernos de antropología social N°27, </w:t>
      </w:r>
      <w:r w:rsidRPr="006A0D6D">
        <w:rPr>
          <w:rFonts w:ascii="Times New Roman" w:hAnsi="Times New Roman" w:cs="Times New Roman"/>
          <w:sz w:val="24"/>
          <w:szCs w:val="24"/>
        </w:rPr>
        <w:t>pp. 7-17</w:t>
      </w:r>
    </w:p>
    <w:p w14:paraId="57095BC2" w14:textId="77777777" w:rsidR="00ED2A41" w:rsidRPr="006A0D6D" w:rsidRDefault="00ED2A41" w:rsidP="00C20901">
      <w:pPr>
        <w:spacing w:after="0" w:line="360" w:lineRule="auto"/>
        <w:ind w:left="709" w:hanging="709"/>
        <w:rPr>
          <w:rFonts w:ascii="Times New Roman" w:hAnsi="Times New Roman" w:cs="Times New Roman"/>
          <w:sz w:val="24"/>
          <w:szCs w:val="24"/>
        </w:rPr>
      </w:pPr>
      <w:r w:rsidRPr="006A0D6D">
        <w:rPr>
          <w:rFonts w:ascii="Times New Roman" w:hAnsi="Times New Roman" w:cs="Times New Roman"/>
          <w:sz w:val="24"/>
          <w:szCs w:val="24"/>
        </w:rPr>
        <w:t xml:space="preserve">Bourdieu, Pierre (1996) “Espíritus de Estado, génesis y estructura del campo burocrático” en Revista </w:t>
      </w:r>
      <w:r w:rsidRPr="006A0D6D">
        <w:rPr>
          <w:rFonts w:ascii="Times New Roman" w:hAnsi="Times New Roman" w:cs="Times New Roman"/>
          <w:i/>
          <w:sz w:val="24"/>
          <w:szCs w:val="24"/>
        </w:rPr>
        <w:t xml:space="preserve">Sociedad N°8, </w:t>
      </w:r>
      <w:r w:rsidRPr="006A0D6D">
        <w:rPr>
          <w:rFonts w:ascii="Times New Roman" w:hAnsi="Times New Roman" w:cs="Times New Roman"/>
          <w:sz w:val="24"/>
          <w:szCs w:val="24"/>
        </w:rPr>
        <w:t xml:space="preserve">Buenos Aires </w:t>
      </w:r>
    </w:p>
    <w:p w14:paraId="1D12006A" w14:textId="77777777" w:rsidR="00ED2A41" w:rsidRPr="006A0D6D" w:rsidRDefault="00ED2A41" w:rsidP="00C20901">
      <w:pPr>
        <w:spacing w:after="0" w:line="360" w:lineRule="auto"/>
        <w:ind w:left="709" w:hanging="709"/>
        <w:jc w:val="both"/>
        <w:rPr>
          <w:rFonts w:ascii="Times New Roman" w:hAnsi="Times New Roman" w:cs="Times New Roman"/>
          <w:sz w:val="24"/>
          <w:szCs w:val="24"/>
          <w:lang w:val="en-US"/>
        </w:rPr>
      </w:pPr>
      <w:r w:rsidRPr="006A0D6D">
        <w:rPr>
          <w:rFonts w:ascii="Times New Roman" w:hAnsi="Times New Roman" w:cs="Times New Roman"/>
          <w:sz w:val="24"/>
          <w:szCs w:val="24"/>
          <w:lang w:val="en-US"/>
        </w:rPr>
        <w:t xml:space="preserve">Brow, James (1990) “Notes on Community, Hegemony and Uses of the Past”, </w:t>
      </w:r>
      <w:r w:rsidRPr="006A0D6D">
        <w:rPr>
          <w:rFonts w:ascii="Times New Roman" w:hAnsi="Times New Roman" w:cs="Times New Roman"/>
          <w:i/>
          <w:sz w:val="24"/>
          <w:szCs w:val="24"/>
          <w:lang w:val="en-US"/>
        </w:rPr>
        <w:t xml:space="preserve">Anthropology Quarterly, </w:t>
      </w:r>
      <w:r w:rsidRPr="006A0D6D">
        <w:rPr>
          <w:rFonts w:ascii="Times New Roman" w:hAnsi="Times New Roman" w:cs="Times New Roman"/>
          <w:sz w:val="24"/>
          <w:szCs w:val="24"/>
          <w:lang w:val="en-US"/>
        </w:rPr>
        <w:t>63: 1</w:t>
      </w:r>
    </w:p>
    <w:p w14:paraId="56A69B4D" w14:textId="77777777" w:rsidR="00ED2A41" w:rsidRPr="000F4FF6" w:rsidRDefault="00ED2A41" w:rsidP="00C20901">
      <w:pPr>
        <w:spacing w:after="0" w:line="360" w:lineRule="auto"/>
        <w:ind w:left="709" w:hanging="709"/>
        <w:rPr>
          <w:rFonts w:ascii="Times New Roman" w:hAnsi="Times New Roman" w:cs="Times New Roman"/>
          <w:sz w:val="24"/>
          <w:szCs w:val="24"/>
        </w:rPr>
      </w:pPr>
      <w:r w:rsidRPr="006A0D6D">
        <w:rPr>
          <w:rFonts w:ascii="Times New Roman" w:hAnsi="Times New Roman" w:cs="Times New Roman"/>
          <w:sz w:val="24"/>
          <w:szCs w:val="24"/>
          <w:lang w:val="es-ES"/>
        </w:rPr>
        <w:t xml:space="preserve">Cafferatta, Néstor (2007) “Daño ambiental colectivo: régimen legal. A la luz de la ley general del ambiente 25675”. En Lloret, J.S y M. C. Garrós Martínez (comp.) </w:t>
      </w:r>
      <w:r w:rsidRPr="006A0D6D">
        <w:rPr>
          <w:rFonts w:ascii="Times New Roman" w:hAnsi="Times New Roman" w:cs="Times New Roman"/>
          <w:i/>
          <w:sz w:val="24"/>
          <w:szCs w:val="24"/>
          <w:lang w:val="es-ES"/>
        </w:rPr>
        <w:t>Perspectivas sobre derecho ambiental y de la sustentabilidad</w:t>
      </w:r>
      <w:r w:rsidRPr="006A0D6D">
        <w:rPr>
          <w:rFonts w:ascii="Times New Roman" w:hAnsi="Times New Roman" w:cs="Times New Roman"/>
          <w:sz w:val="24"/>
          <w:szCs w:val="24"/>
          <w:lang w:val="es-ES"/>
        </w:rPr>
        <w:t>. Salta: EUCASA</w:t>
      </w:r>
    </w:p>
    <w:p w14:paraId="50A0CD09" w14:textId="77777777" w:rsidR="00ED2A41" w:rsidRPr="006A0D6D" w:rsidRDefault="00ED2A41" w:rsidP="00C20901">
      <w:pPr>
        <w:spacing w:after="0" w:line="360" w:lineRule="auto"/>
        <w:ind w:left="709" w:hanging="709"/>
        <w:rPr>
          <w:rFonts w:ascii="Times New Roman" w:hAnsi="Times New Roman" w:cs="Times New Roman"/>
          <w:sz w:val="24"/>
          <w:szCs w:val="24"/>
        </w:rPr>
      </w:pPr>
      <w:r w:rsidRPr="006A0D6D">
        <w:rPr>
          <w:rFonts w:ascii="Times New Roman" w:hAnsi="Times New Roman" w:cs="Times New Roman"/>
          <w:sz w:val="24"/>
          <w:szCs w:val="24"/>
          <w:lang w:val="es-ES"/>
        </w:rPr>
        <w:t>Casa</w:t>
      </w:r>
      <w:r w:rsidR="000F4FF6">
        <w:rPr>
          <w:rFonts w:ascii="Times New Roman" w:hAnsi="Times New Roman" w:cs="Times New Roman"/>
          <w:sz w:val="24"/>
          <w:szCs w:val="24"/>
          <w:lang w:val="es-ES"/>
        </w:rPr>
        <w:t>lderrey Zapata, María Constanza (</w:t>
      </w:r>
      <w:r w:rsidRPr="006A0D6D">
        <w:rPr>
          <w:rFonts w:ascii="Times New Roman" w:hAnsi="Times New Roman" w:cs="Times New Roman"/>
          <w:sz w:val="24"/>
          <w:szCs w:val="24"/>
          <w:lang w:val="es-ES"/>
        </w:rPr>
        <w:t>e.p.</w:t>
      </w:r>
      <w:r w:rsidR="000F4FF6">
        <w:rPr>
          <w:rFonts w:ascii="Times New Roman" w:hAnsi="Times New Roman" w:cs="Times New Roman"/>
          <w:sz w:val="24"/>
          <w:szCs w:val="24"/>
          <w:lang w:val="es-ES"/>
        </w:rPr>
        <w:t>)</w:t>
      </w:r>
      <w:r w:rsidRPr="006A0D6D">
        <w:rPr>
          <w:rFonts w:ascii="Times New Roman" w:hAnsi="Times New Roman" w:cs="Times New Roman"/>
          <w:sz w:val="24"/>
          <w:szCs w:val="24"/>
          <w:lang w:val="es-ES"/>
        </w:rPr>
        <w:t xml:space="preserve"> </w:t>
      </w:r>
      <w:r w:rsidRPr="006A0D6D">
        <w:rPr>
          <w:rFonts w:ascii="Times New Roman" w:hAnsi="Times New Roman" w:cs="Times New Roman"/>
          <w:sz w:val="24"/>
          <w:szCs w:val="24"/>
        </w:rPr>
        <w:t xml:space="preserve">“Crisis ambiental y Ordenamiento Territorial de los Bosques Nativos en la provincia de Salta: entre la política ambiental sostenible y la gestión territorial participativa” </w:t>
      </w:r>
      <w:r w:rsidRPr="006A0D6D">
        <w:rPr>
          <w:rFonts w:ascii="Times New Roman" w:hAnsi="Times New Roman" w:cs="Times New Roman"/>
          <w:i/>
          <w:sz w:val="24"/>
          <w:szCs w:val="24"/>
        </w:rPr>
        <w:t>Revista Espacio Regional</w:t>
      </w:r>
      <w:r w:rsidRPr="006A0D6D">
        <w:rPr>
          <w:rFonts w:ascii="Times New Roman" w:hAnsi="Times New Roman" w:cs="Times New Roman"/>
          <w:sz w:val="24"/>
          <w:szCs w:val="24"/>
        </w:rPr>
        <w:t>, Vol. 2, n.º 14 del año 2017</w:t>
      </w:r>
      <w:r w:rsidR="000F4FF6">
        <w:rPr>
          <w:rFonts w:ascii="Times New Roman" w:hAnsi="Times New Roman" w:cs="Times New Roman"/>
          <w:sz w:val="24"/>
          <w:szCs w:val="24"/>
        </w:rPr>
        <w:t xml:space="preserve"> (en prensa)</w:t>
      </w:r>
    </w:p>
    <w:p w14:paraId="43E6B9F8" w14:textId="77777777" w:rsidR="00ED2A41" w:rsidRPr="006A0D6D" w:rsidRDefault="00ED2A41" w:rsidP="00C20901">
      <w:pPr>
        <w:spacing w:after="0" w:line="360" w:lineRule="auto"/>
        <w:ind w:left="709" w:hanging="709"/>
        <w:rPr>
          <w:rFonts w:ascii="Times New Roman" w:hAnsi="Times New Roman" w:cs="Times New Roman"/>
          <w:sz w:val="24"/>
          <w:szCs w:val="24"/>
          <w:lang w:val="es-ES"/>
        </w:rPr>
      </w:pPr>
      <w:r w:rsidRPr="006A0D6D">
        <w:rPr>
          <w:rFonts w:ascii="Times New Roman" w:hAnsi="Times New Roman" w:cs="Times New Roman"/>
          <w:sz w:val="24"/>
          <w:szCs w:val="24"/>
        </w:rPr>
        <w:t xml:space="preserve">Corrigan, Philip y Derek Sayer (2007). “El Gran Arco: La Formación del Estado Inglés Como Revolución Cultural”. En Lagos L. María y Pamela Calla (comp.) </w:t>
      </w:r>
      <w:r w:rsidRPr="006A0D6D">
        <w:rPr>
          <w:rFonts w:ascii="Times New Roman" w:hAnsi="Times New Roman" w:cs="Times New Roman"/>
          <w:i/>
          <w:iCs/>
          <w:sz w:val="24"/>
          <w:szCs w:val="24"/>
        </w:rPr>
        <w:t>Cuaderno de Futuro</w:t>
      </w:r>
      <w:r w:rsidRPr="006A0D6D">
        <w:rPr>
          <w:rFonts w:ascii="Times New Roman" w:hAnsi="Times New Roman" w:cs="Times New Roman"/>
          <w:sz w:val="24"/>
          <w:szCs w:val="24"/>
        </w:rPr>
        <w:t> </w:t>
      </w:r>
      <w:r w:rsidRPr="006A0D6D">
        <w:rPr>
          <w:rFonts w:ascii="Times New Roman" w:hAnsi="Times New Roman" w:cs="Times New Roman"/>
          <w:i/>
          <w:sz w:val="24"/>
          <w:szCs w:val="24"/>
        </w:rPr>
        <w:t>23: Antropología del Estado. Dominación y prácticas contestatarias en América Latina</w:t>
      </w:r>
      <w:r w:rsidRPr="006A0D6D">
        <w:rPr>
          <w:rFonts w:ascii="Times New Roman" w:hAnsi="Times New Roman" w:cs="Times New Roman"/>
          <w:sz w:val="24"/>
          <w:szCs w:val="24"/>
        </w:rPr>
        <w:t>: 41-104. Bolivia: INDH/PNUD</w:t>
      </w:r>
    </w:p>
    <w:p w14:paraId="057947EC" w14:textId="77777777" w:rsidR="00ED2A41" w:rsidRDefault="00ED2A41" w:rsidP="00C20901">
      <w:pPr>
        <w:spacing w:after="0" w:line="360" w:lineRule="auto"/>
        <w:ind w:left="709" w:hanging="709"/>
        <w:rPr>
          <w:rFonts w:ascii="Times New Roman" w:hAnsi="Times New Roman" w:cs="Times New Roman"/>
          <w:sz w:val="24"/>
          <w:szCs w:val="24"/>
        </w:rPr>
      </w:pPr>
      <w:r w:rsidRPr="006A0D6D">
        <w:rPr>
          <w:rFonts w:ascii="Times New Roman" w:hAnsi="Times New Roman" w:cs="Times New Roman"/>
          <w:sz w:val="24"/>
          <w:szCs w:val="24"/>
        </w:rPr>
        <w:t xml:space="preserve">Foucault, Michel [2004] (2007) </w:t>
      </w:r>
      <w:r w:rsidRPr="006A0D6D">
        <w:rPr>
          <w:rFonts w:ascii="Times New Roman" w:hAnsi="Times New Roman" w:cs="Times New Roman"/>
          <w:i/>
          <w:sz w:val="24"/>
          <w:szCs w:val="24"/>
        </w:rPr>
        <w:t xml:space="preserve">Nacimiento de la biopolítica, curso en el </w:t>
      </w:r>
      <w:r w:rsidRPr="006A0D6D">
        <w:rPr>
          <w:rFonts w:ascii="Times New Roman" w:hAnsi="Times New Roman" w:cs="Times New Roman"/>
          <w:bCs/>
          <w:i/>
          <w:sz w:val="24"/>
          <w:szCs w:val="24"/>
        </w:rPr>
        <w:t>Collège de France</w:t>
      </w:r>
      <w:r w:rsidRPr="006A0D6D">
        <w:rPr>
          <w:rFonts w:ascii="Times New Roman" w:hAnsi="Times New Roman" w:cs="Times New Roman"/>
          <w:i/>
          <w:sz w:val="24"/>
          <w:szCs w:val="24"/>
        </w:rPr>
        <w:t>.</w:t>
      </w:r>
      <w:r w:rsidRPr="006A0D6D">
        <w:rPr>
          <w:rFonts w:ascii="Times New Roman" w:hAnsi="Times New Roman" w:cs="Times New Roman"/>
          <w:sz w:val="24"/>
          <w:szCs w:val="24"/>
        </w:rPr>
        <w:t xml:space="preserve"> Buenos Aires: Fondo de Cultura Económica.</w:t>
      </w:r>
    </w:p>
    <w:p w14:paraId="18C8E0A2" w14:textId="77777777" w:rsidR="00ED2A41" w:rsidRPr="006A0D6D" w:rsidRDefault="00ED2A41" w:rsidP="00C20901">
      <w:pPr>
        <w:spacing w:after="0" w:line="360" w:lineRule="auto"/>
        <w:ind w:left="709" w:hanging="709"/>
        <w:rPr>
          <w:rFonts w:ascii="Times New Roman" w:hAnsi="Times New Roman" w:cs="Times New Roman"/>
          <w:sz w:val="24"/>
          <w:szCs w:val="24"/>
        </w:rPr>
      </w:pPr>
      <w:r w:rsidRPr="006A0D6D">
        <w:rPr>
          <w:rFonts w:ascii="Times New Roman" w:hAnsi="Times New Roman" w:cs="Times New Roman"/>
          <w:sz w:val="24"/>
          <w:szCs w:val="24"/>
        </w:rPr>
        <w:t xml:space="preserve">____ (2007 ª) “La ‘gubernamentalidad’”. En Giorgi, G. y F. Rodríguez (comp.) </w:t>
      </w:r>
      <w:r w:rsidRPr="006A0D6D">
        <w:rPr>
          <w:rFonts w:ascii="Times New Roman" w:hAnsi="Times New Roman" w:cs="Times New Roman"/>
          <w:i/>
          <w:sz w:val="24"/>
          <w:szCs w:val="24"/>
        </w:rPr>
        <w:t xml:space="preserve">Ensayos sobre biopolítica. Excesos de vida. </w:t>
      </w:r>
      <w:r w:rsidRPr="006A0D6D">
        <w:rPr>
          <w:rFonts w:ascii="Times New Roman" w:hAnsi="Times New Roman" w:cs="Times New Roman"/>
          <w:sz w:val="24"/>
          <w:szCs w:val="24"/>
        </w:rPr>
        <w:t>Buenos Aires: Paidós</w:t>
      </w:r>
    </w:p>
    <w:p w14:paraId="6D5E6DA8" w14:textId="77777777" w:rsidR="00ED2A41" w:rsidRPr="006A0D6D" w:rsidRDefault="00ED2A41" w:rsidP="00C20901">
      <w:pPr>
        <w:spacing w:after="0" w:line="360" w:lineRule="auto"/>
        <w:ind w:left="709" w:hanging="709"/>
        <w:rPr>
          <w:rFonts w:ascii="Times New Roman" w:hAnsi="Times New Roman" w:cs="Times New Roman"/>
          <w:sz w:val="24"/>
          <w:szCs w:val="24"/>
        </w:rPr>
      </w:pPr>
      <w:r w:rsidRPr="006A0D6D">
        <w:rPr>
          <w:rFonts w:ascii="Times New Roman" w:hAnsi="Times New Roman" w:cs="Times New Roman"/>
          <w:sz w:val="24"/>
          <w:szCs w:val="24"/>
        </w:rPr>
        <w:t xml:space="preserve">Frere, Pablo (2004) </w:t>
      </w:r>
      <w:r w:rsidRPr="006A0D6D">
        <w:rPr>
          <w:rFonts w:ascii="Times New Roman" w:hAnsi="Times New Roman" w:cs="Times New Roman"/>
          <w:i/>
          <w:sz w:val="24"/>
          <w:szCs w:val="24"/>
        </w:rPr>
        <w:t>Diagnostico sobre la población objetivo de las políticas de desarrollo rural de la Provincia de Salta</w:t>
      </w:r>
      <w:r w:rsidRPr="006A0D6D">
        <w:rPr>
          <w:rFonts w:ascii="Times New Roman" w:hAnsi="Times New Roman" w:cs="Times New Roman"/>
          <w:sz w:val="24"/>
          <w:szCs w:val="24"/>
        </w:rPr>
        <w:t xml:space="preserve">. Buenos Aires: SAGPyA-PROINDER. </w:t>
      </w:r>
    </w:p>
    <w:p w14:paraId="5AA1B8D2" w14:textId="77777777" w:rsidR="00ED2A41" w:rsidRPr="006A0D6D" w:rsidRDefault="00ED2A41" w:rsidP="00C20901">
      <w:pPr>
        <w:spacing w:after="0" w:line="360" w:lineRule="auto"/>
        <w:ind w:left="709" w:hanging="709"/>
        <w:rPr>
          <w:rFonts w:ascii="Times New Roman" w:hAnsi="Times New Roman" w:cs="Times New Roman"/>
          <w:sz w:val="24"/>
          <w:szCs w:val="24"/>
        </w:rPr>
      </w:pPr>
      <w:r w:rsidRPr="006A0D6D">
        <w:rPr>
          <w:rFonts w:ascii="Times New Roman" w:hAnsi="Times New Roman" w:cs="Times New Roman"/>
          <w:sz w:val="24"/>
          <w:szCs w:val="24"/>
        </w:rPr>
        <w:t xml:space="preserve">Gil Araujo, Sandra (2010) </w:t>
      </w:r>
      <w:r w:rsidRPr="006A0D6D">
        <w:rPr>
          <w:rFonts w:ascii="Times New Roman" w:hAnsi="Times New Roman" w:cs="Times New Roman"/>
          <w:i/>
          <w:sz w:val="24"/>
          <w:szCs w:val="24"/>
        </w:rPr>
        <w:t xml:space="preserve">Las argucias de la integración. Políticas migratorias, construcción nacional y cuestión social, </w:t>
      </w:r>
      <w:r w:rsidRPr="006A0D6D">
        <w:rPr>
          <w:rFonts w:ascii="Times New Roman" w:hAnsi="Times New Roman" w:cs="Times New Roman"/>
          <w:sz w:val="24"/>
          <w:szCs w:val="24"/>
        </w:rPr>
        <w:t xml:space="preserve">Madrid: IEPALA </w:t>
      </w:r>
    </w:p>
    <w:p w14:paraId="093C349F" w14:textId="77777777" w:rsidR="00ED2A41" w:rsidRPr="006A0D6D" w:rsidRDefault="00ED2A41" w:rsidP="00C20901">
      <w:pPr>
        <w:spacing w:after="0" w:line="360" w:lineRule="auto"/>
        <w:ind w:left="709" w:hanging="709"/>
        <w:rPr>
          <w:rFonts w:ascii="Times New Roman" w:hAnsi="Times New Roman" w:cs="Times New Roman"/>
          <w:sz w:val="24"/>
          <w:szCs w:val="24"/>
          <w:lang w:val="en-US"/>
        </w:rPr>
      </w:pPr>
      <w:r w:rsidRPr="006A0D6D">
        <w:rPr>
          <w:rFonts w:ascii="Times New Roman" w:hAnsi="Times New Roman" w:cs="Times New Roman"/>
          <w:sz w:val="24"/>
          <w:szCs w:val="24"/>
          <w:lang w:val="en-US"/>
        </w:rPr>
        <w:t xml:space="preserve">Kull, Christian, Xavier Arnauld de Sartre y Monica Castro-Larrañaga (2015) “The political ecology of ecosystem services”, </w:t>
      </w:r>
      <w:r w:rsidRPr="006A0D6D">
        <w:rPr>
          <w:rFonts w:ascii="Times New Roman" w:hAnsi="Times New Roman" w:cs="Times New Roman"/>
          <w:i/>
          <w:iCs/>
          <w:sz w:val="24"/>
          <w:szCs w:val="24"/>
          <w:lang w:val="en-US"/>
        </w:rPr>
        <w:t xml:space="preserve">Geoforum </w:t>
      </w:r>
      <w:r w:rsidRPr="006A0D6D">
        <w:rPr>
          <w:rFonts w:ascii="Times New Roman" w:hAnsi="Times New Roman" w:cs="Times New Roman"/>
          <w:bCs/>
          <w:sz w:val="24"/>
          <w:szCs w:val="24"/>
          <w:lang w:val="en-US"/>
        </w:rPr>
        <w:t>61</w:t>
      </w:r>
      <w:r w:rsidRPr="006A0D6D">
        <w:rPr>
          <w:rFonts w:ascii="Times New Roman" w:hAnsi="Times New Roman" w:cs="Times New Roman"/>
          <w:sz w:val="24"/>
          <w:szCs w:val="24"/>
          <w:lang w:val="en-US"/>
        </w:rPr>
        <w:t>, pp. 122- 134</w:t>
      </w:r>
    </w:p>
    <w:p w14:paraId="65BB738D" w14:textId="77777777" w:rsidR="00ED2A41" w:rsidRPr="006A0D6D" w:rsidRDefault="00ED2A41" w:rsidP="00C20901">
      <w:pPr>
        <w:spacing w:after="0" w:line="360" w:lineRule="auto"/>
        <w:ind w:left="709" w:hanging="709"/>
        <w:rPr>
          <w:rFonts w:ascii="Times New Roman" w:hAnsi="Times New Roman" w:cs="Times New Roman"/>
          <w:sz w:val="24"/>
          <w:szCs w:val="24"/>
        </w:rPr>
      </w:pPr>
      <w:r w:rsidRPr="006A0D6D">
        <w:rPr>
          <w:rFonts w:ascii="Times New Roman" w:hAnsi="Times New Roman" w:cs="Times New Roman"/>
          <w:sz w:val="24"/>
          <w:szCs w:val="24"/>
        </w:rPr>
        <w:lastRenderedPageBreak/>
        <w:t xml:space="preserve">Rockwell, Elsie (2009) </w:t>
      </w:r>
      <w:r w:rsidRPr="006A0D6D">
        <w:rPr>
          <w:rFonts w:ascii="Times New Roman" w:hAnsi="Times New Roman" w:cs="Times New Roman"/>
          <w:i/>
          <w:sz w:val="24"/>
          <w:szCs w:val="24"/>
        </w:rPr>
        <w:t xml:space="preserve">La experiencia etnográfica. Historia y cultura en los procesos </w:t>
      </w:r>
      <w:r w:rsidR="000F4FF6" w:rsidRPr="006A0D6D">
        <w:rPr>
          <w:rFonts w:ascii="Times New Roman" w:hAnsi="Times New Roman" w:cs="Times New Roman"/>
          <w:i/>
          <w:sz w:val="24"/>
          <w:szCs w:val="24"/>
        </w:rPr>
        <w:t>educativos</w:t>
      </w:r>
      <w:r w:rsidRPr="006A0D6D">
        <w:rPr>
          <w:rFonts w:ascii="Times New Roman" w:hAnsi="Times New Roman" w:cs="Times New Roman"/>
          <w:sz w:val="24"/>
          <w:szCs w:val="24"/>
        </w:rPr>
        <w:t>, Buenos Aires: Paidós</w:t>
      </w:r>
    </w:p>
    <w:p w14:paraId="634CE67A" w14:textId="77777777" w:rsidR="00ED2A41" w:rsidRPr="006A0D6D" w:rsidRDefault="00ED2A41" w:rsidP="00C20901">
      <w:pPr>
        <w:spacing w:after="0" w:line="360" w:lineRule="auto"/>
        <w:ind w:left="709" w:hanging="709"/>
        <w:rPr>
          <w:rFonts w:ascii="Times New Roman" w:hAnsi="Times New Roman" w:cs="Times New Roman"/>
          <w:sz w:val="24"/>
          <w:szCs w:val="24"/>
        </w:rPr>
      </w:pPr>
      <w:r w:rsidRPr="006A0D6D">
        <w:rPr>
          <w:rFonts w:ascii="Times New Roman" w:hAnsi="Times New Roman" w:cs="Times New Roman"/>
          <w:sz w:val="24"/>
          <w:szCs w:val="24"/>
        </w:rPr>
        <w:t xml:space="preserve">Schmidt, Mariana Andrea (2012) “Situación de la tierra en la provincia de Salta. Una aproximación al contexto previo al Ordenamiento Territorial de Bosques Nativos”, en </w:t>
      </w:r>
      <w:r w:rsidRPr="006A0D6D">
        <w:rPr>
          <w:rFonts w:ascii="Times New Roman" w:hAnsi="Times New Roman" w:cs="Times New Roman"/>
          <w:i/>
          <w:sz w:val="24"/>
          <w:szCs w:val="24"/>
        </w:rPr>
        <w:t xml:space="preserve">Estudios Rurales vol. 2 n°3, </w:t>
      </w:r>
      <w:r w:rsidRPr="006A0D6D">
        <w:rPr>
          <w:rFonts w:ascii="Times New Roman" w:hAnsi="Times New Roman" w:cs="Times New Roman"/>
          <w:sz w:val="24"/>
          <w:szCs w:val="24"/>
        </w:rPr>
        <w:t xml:space="preserve">75-103 </w:t>
      </w:r>
    </w:p>
    <w:p w14:paraId="1832B2A2" w14:textId="77777777" w:rsidR="00ED2A41" w:rsidRPr="006A0D6D" w:rsidRDefault="00ED2A41" w:rsidP="00C20901">
      <w:pPr>
        <w:spacing w:after="0" w:line="360" w:lineRule="auto"/>
        <w:ind w:left="709" w:hanging="709"/>
        <w:rPr>
          <w:rFonts w:ascii="Times New Roman" w:hAnsi="Times New Roman" w:cs="Times New Roman"/>
          <w:sz w:val="24"/>
          <w:szCs w:val="24"/>
        </w:rPr>
      </w:pPr>
      <w:r w:rsidRPr="006A0D6D">
        <w:rPr>
          <w:rFonts w:ascii="Times New Roman" w:hAnsi="Times New Roman" w:cs="Times New Roman"/>
          <w:sz w:val="24"/>
          <w:szCs w:val="24"/>
        </w:rPr>
        <w:t xml:space="preserve">Van Dam, Chris (2008) </w:t>
      </w:r>
      <w:r w:rsidRPr="006A0D6D">
        <w:rPr>
          <w:rFonts w:ascii="Times New Roman" w:hAnsi="Times New Roman" w:cs="Times New Roman"/>
          <w:i/>
          <w:sz w:val="24"/>
          <w:szCs w:val="24"/>
        </w:rPr>
        <w:t>Tierra, territorio y derechos de los pueblos: indígenas, campesinos y pequeños productores de Salta.</w:t>
      </w:r>
      <w:r w:rsidRPr="006A0D6D">
        <w:rPr>
          <w:rFonts w:ascii="Times New Roman" w:hAnsi="Times New Roman" w:cs="Times New Roman"/>
          <w:sz w:val="24"/>
          <w:szCs w:val="24"/>
        </w:rPr>
        <w:t xml:space="preserve"> Buenos Aires: Secretaría Agricultura, Ganadería, Pesca y Alimentos.</w:t>
      </w:r>
    </w:p>
    <w:p w14:paraId="6BFBC24C" w14:textId="77777777" w:rsidR="00ED2A41" w:rsidRDefault="00ED2A41" w:rsidP="00C20901">
      <w:pPr>
        <w:spacing w:line="360" w:lineRule="auto"/>
        <w:rPr>
          <w:rFonts w:ascii="Times New Roman" w:hAnsi="Times New Roman" w:cs="Times New Roman"/>
          <w:b/>
          <w:sz w:val="24"/>
          <w:szCs w:val="24"/>
        </w:rPr>
      </w:pPr>
    </w:p>
    <w:p w14:paraId="3459C875" w14:textId="77777777" w:rsidR="0039109D" w:rsidRPr="0039109D" w:rsidRDefault="0039109D" w:rsidP="00C20901">
      <w:pPr>
        <w:spacing w:line="360" w:lineRule="auto"/>
        <w:rPr>
          <w:rFonts w:ascii="Times New Roman" w:hAnsi="Times New Roman" w:cs="Times New Roman"/>
          <w:b/>
          <w:sz w:val="24"/>
          <w:szCs w:val="24"/>
        </w:rPr>
      </w:pPr>
    </w:p>
    <w:sectPr w:rsidR="0039109D" w:rsidRPr="0039109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914C0" w14:textId="77777777" w:rsidR="00104048" w:rsidRDefault="00104048" w:rsidP="00813CCB">
      <w:pPr>
        <w:spacing w:after="0" w:line="240" w:lineRule="auto"/>
      </w:pPr>
      <w:r>
        <w:separator/>
      </w:r>
    </w:p>
  </w:endnote>
  <w:endnote w:type="continuationSeparator" w:id="0">
    <w:p w14:paraId="0BBA3B6F" w14:textId="77777777" w:rsidR="00104048" w:rsidRDefault="00104048" w:rsidP="00813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C0B3D" w14:textId="77777777" w:rsidR="00104048" w:rsidRDefault="00104048" w:rsidP="00813CCB">
      <w:pPr>
        <w:spacing w:after="0" w:line="240" w:lineRule="auto"/>
      </w:pPr>
      <w:r>
        <w:separator/>
      </w:r>
    </w:p>
  </w:footnote>
  <w:footnote w:type="continuationSeparator" w:id="0">
    <w:p w14:paraId="54409ACE" w14:textId="77777777" w:rsidR="00104048" w:rsidRDefault="00104048" w:rsidP="00813CCB">
      <w:pPr>
        <w:spacing w:after="0" w:line="240" w:lineRule="auto"/>
      </w:pPr>
      <w:r>
        <w:continuationSeparator/>
      </w:r>
    </w:p>
  </w:footnote>
  <w:footnote w:id="1">
    <w:p w14:paraId="40389133" w14:textId="77777777" w:rsidR="0042327C" w:rsidRDefault="0042327C" w:rsidP="00813CCB">
      <w:pPr>
        <w:pStyle w:val="FootnoteText"/>
      </w:pPr>
      <w:r>
        <w:rPr>
          <w:rStyle w:val="FootnoteReference"/>
        </w:rPr>
        <w:sym w:font="Symbol" w:char="F0B7"/>
      </w:r>
      <w:r>
        <w:t xml:space="preserve"> Antropóloga – FFyL – UBA. Instituto de investigaciones en diversidad cultural y procesos de cambio UNRN-CONICET. Mail: costy.casal@gmail.com</w:t>
      </w:r>
    </w:p>
  </w:footnote>
  <w:footnote w:id="2">
    <w:p w14:paraId="55271F98" w14:textId="77777777" w:rsidR="0042327C" w:rsidRPr="006B242E" w:rsidRDefault="0042327C" w:rsidP="0062055C">
      <w:pPr>
        <w:pStyle w:val="FootnoteText"/>
        <w:jc w:val="both"/>
        <w:rPr>
          <w:rFonts w:ascii="Times New Roman" w:hAnsi="Times New Roman"/>
          <w:sz w:val="22"/>
        </w:rPr>
      </w:pPr>
      <w:r w:rsidRPr="006B242E">
        <w:rPr>
          <w:rStyle w:val="FootnoteReference"/>
          <w:rFonts w:ascii="Times New Roman" w:hAnsi="Times New Roman"/>
          <w:sz w:val="22"/>
        </w:rPr>
        <w:footnoteRef/>
      </w:r>
      <w:r w:rsidRPr="006B242E">
        <w:rPr>
          <w:rFonts w:ascii="Times New Roman" w:hAnsi="Times New Roman"/>
          <w:sz w:val="22"/>
        </w:rPr>
        <w:t xml:space="preserve"> Entiendo por gubernamentalidad el ‘arte de gobernar el Estado’. En el sentido que es diferente al gobierno de uno mismo, es, entonces, el gobierno de los otros; de la población constituida en ‘comunidad’. Es “el conjunto constituido por las instituciones, los procedimientos, análisis y reflexiones, los cálculos y las tácticas que permiten ejercer esta forma tan específica, tan compleja, de poder, que tiene como meta principal la población, como forma primordial de saber, la economía política, y como  instrumento técnico esencial, los dispositivos de seguridad” (Foucault 2007ª: 213)</w:t>
      </w:r>
    </w:p>
  </w:footnote>
  <w:footnote w:id="3">
    <w:p w14:paraId="58F3DF1C" w14:textId="77777777" w:rsidR="0042327C" w:rsidRPr="005B7B75" w:rsidRDefault="0042327C" w:rsidP="00FA1C8B">
      <w:pPr>
        <w:pStyle w:val="FootnoteText"/>
        <w:jc w:val="both"/>
      </w:pPr>
      <w:r>
        <w:rPr>
          <w:rStyle w:val="FootnoteReference"/>
        </w:rPr>
        <w:footnoteRef/>
      </w:r>
      <w:r>
        <w:t xml:space="preserve"> “Mi argumento sostiene, en resumen, que deberíamos tomar en serio la afirmación de Engels (…) La característica más importante del estado es la de constituir el interés común </w:t>
      </w:r>
      <w:r>
        <w:rPr>
          <w:i/>
        </w:rPr>
        <w:t xml:space="preserve">ilusorio </w:t>
      </w:r>
      <w:r>
        <w:t>de una sociedad: en donde la palabra crucial viene de ser ‘ilusorio’” (Abrams 1988: 83).</w:t>
      </w:r>
    </w:p>
  </w:footnote>
  <w:footnote w:id="4">
    <w:p w14:paraId="1EC32DA9" w14:textId="77777777" w:rsidR="0042327C" w:rsidRDefault="0042327C">
      <w:pPr>
        <w:pStyle w:val="FootnoteText"/>
      </w:pPr>
      <w:r>
        <w:rPr>
          <w:rStyle w:val="FootnoteReference"/>
        </w:rPr>
        <w:footnoteRef/>
      </w:r>
      <w:r>
        <w:t xml:space="preserve"> </w:t>
      </w:r>
      <w:r>
        <w:rPr>
          <w:rFonts w:ascii="Times New Roman" w:hAnsi="Times New Roman" w:cs="Times New Roman"/>
          <w:sz w:val="24"/>
          <w:szCs w:val="24"/>
        </w:rPr>
        <w:t>Ley de presupuestos mínimos de protección ambiental de los bosques nativos.</w:t>
      </w:r>
    </w:p>
  </w:footnote>
  <w:footnote w:id="5">
    <w:p w14:paraId="40BB62DE" w14:textId="77777777" w:rsidR="0042327C" w:rsidRPr="003227EC" w:rsidRDefault="0042327C" w:rsidP="003B2869">
      <w:pPr>
        <w:pStyle w:val="FootnoteText"/>
        <w:jc w:val="both"/>
        <w:rPr>
          <w:rFonts w:ascii="Times New Roman" w:hAnsi="Times New Roman" w:cs="Times New Roman"/>
        </w:rPr>
      </w:pPr>
      <w:r w:rsidRPr="003227EC">
        <w:rPr>
          <w:rStyle w:val="FootnoteReference"/>
          <w:rFonts w:ascii="Times New Roman" w:hAnsi="Times New Roman" w:cs="Times New Roman"/>
        </w:rPr>
        <w:footnoteRef/>
      </w:r>
      <w:r w:rsidRPr="003227EC">
        <w:rPr>
          <w:rFonts w:ascii="Times New Roman" w:hAnsi="Times New Roman" w:cs="Times New Roman"/>
        </w:rPr>
        <w:t xml:space="preserve"> El artículo 124° de la Constitución Nacional le otorga a las provincias “el dominio originario de los recursos naturales existentes en su territorio”.</w:t>
      </w:r>
    </w:p>
  </w:footnote>
  <w:footnote w:id="6">
    <w:p w14:paraId="6FCCBA82" w14:textId="77777777" w:rsidR="0042327C" w:rsidRPr="003227EC" w:rsidRDefault="0042327C" w:rsidP="00625ADB">
      <w:pPr>
        <w:pStyle w:val="FootnoteText"/>
        <w:jc w:val="both"/>
        <w:rPr>
          <w:rFonts w:ascii="Times New Roman" w:hAnsi="Times New Roman" w:cs="Times New Roman"/>
        </w:rPr>
      </w:pPr>
      <w:r w:rsidRPr="003227EC">
        <w:rPr>
          <w:rStyle w:val="FootnoteReference"/>
          <w:rFonts w:ascii="Times New Roman" w:hAnsi="Times New Roman" w:cs="Times New Roman"/>
        </w:rPr>
        <w:footnoteRef/>
      </w:r>
      <w:r w:rsidRPr="003227EC">
        <w:rPr>
          <w:rFonts w:ascii="Times New Roman" w:hAnsi="Times New Roman" w:cs="Times New Roman"/>
        </w:rPr>
        <w:t xml:space="preserve"> Ver nota de Greenpeace disponible en: </w:t>
      </w:r>
      <w:hyperlink r:id="rId1" w:history="1">
        <w:r w:rsidRPr="003227EC">
          <w:rPr>
            <w:rStyle w:val="Hyperlink"/>
            <w:rFonts w:ascii="Times New Roman" w:hAnsi="Times New Roman" w:cs="Times New Roman"/>
          </w:rPr>
          <w:t>http://www.greenpeace.org.ar/blogbosques/</w:t>
        </w:r>
      </w:hyperlink>
      <w:r w:rsidRPr="003227EC">
        <w:rPr>
          <w:rFonts w:ascii="Times New Roman" w:hAnsi="Times New Roman" w:cs="Times New Roman"/>
        </w:rPr>
        <w:t xml:space="preserve"> (consultado 15/05/2015).</w:t>
      </w:r>
    </w:p>
  </w:footnote>
  <w:footnote w:id="7">
    <w:p w14:paraId="1C1C0198" w14:textId="77777777" w:rsidR="0042327C" w:rsidRPr="003227EC" w:rsidRDefault="0042327C" w:rsidP="00625ADB">
      <w:pPr>
        <w:pStyle w:val="FootnoteText"/>
        <w:jc w:val="both"/>
        <w:rPr>
          <w:rFonts w:ascii="Times New Roman" w:hAnsi="Times New Roman" w:cs="Times New Roman"/>
        </w:rPr>
      </w:pPr>
      <w:r w:rsidRPr="003227EC">
        <w:rPr>
          <w:rStyle w:val="FootnoteReference"/>
          <w:rFonts w:ascii="Times New Roman" w:hAnsi="Times New Roman" w:cs="Times New Roman"/>
        </w:rPr>
        <w:footnoteRef/>
      </w:r>
      <w:r w:rsidRPr="003227EC">
        <w:rPr>
          <w:rFonts w:ascii="Times New Roman" w:hAnsi="Times New Roman" w:cs="Times New Roman"/>
        </w:rPr>
        <w:t xml:space="preserve"> La posición del diputado Miguel Bonasso, entre otros, durante las sesiones del congreso en las que se discutió el proyecto de la LB es indicativo de la preocupación por parte de ciertos sectores del gobierno nacional sobre la situación particular de la deforestación en Salta. Estas sesiones se encuentran disponibles en: </w:t>
      </w:r>
      <w:hyperlink r:id="rId2" w:history="1">
        <w:r w:rsidRPr="003227EC">
          <w:rPr>
            <w:rStyle w:val="Hyperlink"/>
            <w:rFonts w:ascii="Times New Roman" w:hAnsi="Times New Roman" w:cs="Times New Roman"/>
          </w:rPr>
          <w:t>http://www1.hcdn.gov.ar/sesionesxml/mltsearchfull.asp</w:t>
        </w:r>
      </w:hyperlink>
      <w:r w:rsidRPr="003227EC">
        <w:rPr>
          <w:rFonts w:ascii="Times New Roman" w:hAnsi="Times New Roman" w:cs="Times New Roman"/>
        </w:rPr>
        <w:t xml:space="preserve"> y </w:t>
      </w:r>
      <w:hyperlink r:id="rId3" w:history="1">
        <w:r w:rsidRPr="003227EC">
          <w:rPr>
            <w:rStyle w:val="Hyperlink"/>
            <w:rFonts w:ascii="Times New Roman" w:hAnsi="Times New Roman" w:cs="Times New Roman"/>
          </w:rPr>
          <w:t>http://www1.hcdn.gov.ar/sesionesxml/mltsearchfull.asp</w:t>
        </w:r>
      </w:hyperlink>
      <w:r w:rsidRPr="003227EC">
        <w:rPr>
          <w:rFonts w:ascii="Times New Roman" w:hAnsi="Times New Roman" w:cs="Times New Roman"/>
        </w:rPr>
        <w:t>(consultado 15/05/2015)</w:t>
      </w:r>
    </w:p>
  </w:footnote>
  <w:footnote w:id="8">
    <w:p w14:paraId="7975DB23" w14:textId="77777777" w:rsidR="0042327C" w:rsidRPr="00FA7546" w:rsidRDefault="0042327C" w:rsidP="00DA006F">
      <w:pPr>
        <w:pStyle w:val="FootnoteText"/>
        <w:jc w:val="both"/>
        <w:rPr>
          <w:rFonts w:ascii="Arial" w:hAnsi="Arial"/>
          <w:sz w:val="16"/>
        </w:rPr>
      </w:pPr>
      <w:r w:rsidRPr="00FA7546">
        <w:rPr>
          <w:rStyle w:val="FootnoteReference"/>
          <w:rFonts w:ascii="Arial" w:hAnsi="Arial"/>
          <w:sz w:val="16"/>
        </w:rPr>
        <w:footnoteRef/>
      </w:r>
      <w:r w:rsidRPr="00FA7546">
        <w:rPr>
          <w:rFonts w:ascii="Arial" w:hAnsi="Arial"/>
          <w:sz w:val="16"/>
        </w:rPr>
        <w:t xml:space="preserve"> Promulgada en 2006 fue prorrogada dos veces en 2009 y 2013 hasta 2016.</w:t>
      </w:r>
    </w:p>
  </w:footnote>
  <w:footnote w:id="9">
    <w:p w14:paraId="3964D363" w14:textId="77777777" w:rsidR="0042327C" w:rsidRPr="003227EC" w:rsidRDefault="0042327C" w:rsidP="003C64E3">
      <w:pPr>
        <w:pStyle w:val="FootnoteText"/>
        <w:jc w:val="both"/>
        <w:rPr>
          <w:rFonts w:ascii="Times New Roman" w:hAnsi="Times New Roman" w:cs="Times New Roman"/>
        </w:rPr>
      </w:pPr>
      <w:r w:rsidRPr="003227EC">
        <w:rPr>
          <w:rStyle w:val="FootnoteReference"/>
          <w:rFonts w:ascii="Times New Roman" w:hAnsi="Times New Roman" w:cs="Times New Roman"/>
        </w:rPr>
        <w:footnoteRef/>
      </w:r>
      <w:r w:rsidRPr="003227EC">
        <w:rPr>
          <w:rFonts w:ascii="Times New Roman" w:hAnsi="Times New Roman" w:cs="Times New Roman"/>
        </w:rPr>
        <w:t xml:space="preserve"> Entre ellos: a) “Derecho a la vida y la salud” </w:t>
      </w:r>
      <w:r w:rsidRPr="003227EC">
        <w:rPr>
          <w:rFonts w:ascii="Times New Roman" w:hAnsi="Times New Roman" w:cs="Times New Roman"/>
          <w:lang w:val="es-ES"/>
        </w:rPr>
        <w:t xml:space="preserve">garantizado en el artículo 42 y en diversos tratados internacionales: </w:t>
      </w:r>
      <w:r w:rsidRPr="003227EC">
        <w:rPr>
          <w:rFonts w:ascii="Times New Roman" w:hAnsi="Times New Roman" w:cs="Times New Roman"/>
        </w:rPr>
        <w:t>Declaración Universal de los Derechos Humanos (art. 25 inc. 1); Declaración Americana de los Derechos y deberes del Hombre (art. 11); Pacto Internacional de Derechos Económicos, Culturales y Sociales (art. 12 inc. 1); b) “Derecho de autonomía”, consagrado en el art. 19 CN; c) “Derecho de igualdad real”, consagrado en el art. 16 CN; d) “Derecho a la protección de las creencias (libertad de culto)”, consagrado en el art. 14 CN; e) “Derecho a la protección de la familia”, consagrado en el art. 14 bis CN.</w:t>
      </w:r>
      <w:r w:rsidRPr="003227EC">
        <w:rPr>
          <w:rFonts w:ascii="Times New Roman" w:hAnsi="Times New Roman" w:cs="Times New Roman"/>
          <w:lang w:val="es-ES"/>
        </w:rPr>
        <w:t xml:space="preserve">  </w:t>
      </w:r>
      <w:r w:rsidRPr="003227EC">
        <w:rPr>
          <w:rFonts w:ascii="Times New Roman" w:hAnsi="Times New Roman" w:cs="Times New Roman"/>
        </w:rPr>
        <w:t xml:space="preserve">  </w:t>
      </w:r>
    </w:p>
  </w:footnote>
  <w:footnote w:id="10">
    <w:p w14:paraId="6C0E589A" w14:textId="77777777" w:rsidR="0042327C" w:rsidRPr="003227EC" w:rsidRDefault="0042327C" w:rsidP="00EF571F">
      <w:pPr>
        <w:pStyle w:val="FootnoteText"/>
        <w:jc w:val="both"/>
        <w:rPr>
          <w:rFonts w:ascii="Times New Roman" w:hAnsi="Times New Roman" w:cs="Times New Roman"/>
        </w:rPr>
      </w:pPr>
      <w:r w:rsidRPr="003227EC">
        <w:rPr>
          <w:rStyle w:val="FootnoteReference"/>
          <w:rFonts w:ascii="Times New Roman" w:hAnsi="Times New Roman" w:cs="Times New Roman"/>
        </w:rPr>
        <w:footnoteRef/>
      </w:r>
      <w:r w:rsidRPr="003227EC">
        <w:rPr>
          <w:rFonts w:ascii="Times New Roman" w:hAnsi="Times New Roman" w:cs="Times New Roman"/>
        </w:rPr>
        <w:t xml:space="preserve"> </w:t>
      </w:r>
      <w:r w:rsidRPr="003227EC">
        <w:rPr>
          <w:rFonts w:ascii="Times New Roman" w:hAnsi="Times New Roman" w:cs="Times New Roman"/>
          <w:bCs/>
          <w:lang w:val="es-ES"/>
        </w:rPr>
        <w:t>Greenpeace y Fundación Vida Silvestre son reconocidas organizaciones internacionales, mientras que FARN es una organización nacional, con base en Buenos Aires, abocada a los aspectos jurídicos de la conservación del ambiente.</w:t>
      </w:r>
      <w:r w:rsidRPr="003227EC">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80A"/>
    <w:rsid w:val="000321E8"/>
    <w:rsid w:val="000406F7"/>
    <w:rsid w:val="00062041"/>
    <w:rsid w:val="000A4503"/>
    <w:rsid w:val="000E2841"/>
    <w:rsid w:val="000E49CD"/>
    <w:rsid w:val="000F4FF6"/>
    <w:rsid w:val="00104048"/>
    <w:rsid w:val="00112B24"/>
    <w:rsid w:val="0016623C"/>
    <w:rsid w:val="0019095B"/>
    <w:rsid w:val="001D489A"/>
    <w:rsid w:val="001E3B4F"/>
    <w:rsid w:val="00203E8B"/>
    <w:rsid w:val="00280C4B"/>
    <w:rsid w:val="002A4E2E"/>
    <w:rsid w:val="00304EE4"/>
    <w:rsid w:val="00357EAC"/>
    <w:rsid w:val="0039109D"/>
    <w:rsid w:val="003B2869"/>
    <w:rsid w:val="003C64E3"/>
    <w:rsid w:val="003F0FA9"/>
    <w:rsid w:val="00412AE2"/>
    <w:rsid w:val="0042327C"/>
    <w:rsid w:val="00430963"/>
    <w:rsid w:val="00452708"/>
    <w:rsid w:val="004A7793"/>
    <w:rsid w:val="005232CA"/>
    <w:rsid w:val="00533707"/>
    <w:rsid w:val="00595C0C"/>
    <w:rsid w:val="005F07F4"/>
    <w:rsid w:val="0062055C"/>
    <w:rsid w:val="00625ADB"/>
    <w:rsid w:val="00632122"/>
    <w:rsid w:val="00647144"/>
    <w:rsid w:val="006807FF"/>
    <w:rsid w:val="00685C56"/>
    <w:rsid w:val="006A10DA"/>
    <w:rsid w:val="007511E6"/>
    <w:rsid w:val="00764B4A"/>
    <w:rsid w:val="007A023D"/>
    <w:rsid w:val="007A4AAC"/>
    <w:rsid w:val="007C3C8C"/>
    <w:rsid w:val="007C64BA"/>
    <w:rsid w:val="00813CCB"/>
    <w:rsid w:val="00827741"/>
    <w:rsid w:val="0084162B"/>
    <w:rsid w:val="00852547"/>
    <w:rsid w:val="00855226"/>
    <w:rsid w:val="008A33FB"/>
    <w:rsid w:val="008C410F"/>
    <w:rsid w:val="008C6898"/>
    <w:rsid w:val="008D6A3D"/>
    <w:rsid w:val="008D7401"/>
    <w:rsid w:val="008F6C42"/>
    <w:rsid w:val="00936592"/>
    <w:rsid w:val="00966C86"/>
    <w:rsid w:val="00984FE7"/>
    <w:rsid w:val="00A13664"/>
    <w:rsid w:val="00A21EE4"/>
    <w:rsid w:val="00A404E7"/>
    <w:rsid w:val="00A422E4"/>
    <w:rsid w:val="00A42994"/>
    <w:rsid w:val="00A86B39"/>
    <w:rsid w:val="00A87A80"/>
    <w:rsid w:val="00A95A00"/>
    <w:rsid w:val="00B039B0"/>
    <w:rsid w:val="00B60B87"/>
    <w:rsid w:val="00B66BA9"/>
    <w:rsid w:val="00BC35E4"/>
    <w:rsid w:val="00C20901"/>
    <w:rsid w:val="00C4466B"/>
    <w:rsid w:val="00C61BE6"/>
    <w:rsid w:val="00C86CD9"/>
    <w:rsid w:val="00CD6841"/>
    <w:rsid w:val="00CE22BF"/>
    <w:rsid w:val="00D33235"/>
    <w:rsid w:val="00D44121"/>
    <w:rsid w:val="00D81380"/>
    <w:rsid w:val="00D83FD9"/>
    <w:rsid w:val="00D97AB9"/>
    <w:rsid w:val="00DA006F"/>
    <w:rsid w:val="00DF5C4A"/>
    <w:rsid w:val="00E1536F"/>
    <w:rsid w:val="00E2473D"/>
    <w:rsid w:val="00EA2FDC"/>
    <w:rsid w:val="00EB73A2"/>
    <w:rsid w:val="00ED2A41"/>
    <w:rsid w:val="00ED7926"/>
    <w:rsid w:val="00EF571F"/>
    <w:rsid w:val="00F65E07"/>
    <w:rsid w:val="00F65EC2"/>
    <w:rsid w:val="00F9171F"/>
    <w:rsid w:val="00FA1C8B"/>
    <w:rsid w:val="00FE0226"/>
    <w:rsid w:val="00FE0600"/>
    <w:rsid w:val="00FE580A"/>
    <w:rsid w:val="00FF1A78"/>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3D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13CCB"/>
    <w:pPr>
      <w:spacing w:after="0" w:line="240" w:lineRule="auto"/>
    </w:pPr>
    <w:rPr>
      <w:sz w:val="20"/>
      <w:szCs w:val="20"/>
    </w:rPr>
  </w:style>
  <w:style w:type="character" w:customStyle="1" w:styleId="FootnoteTextChar">
    <w:name w:val="Footnote Text Char"/>
    <w:basedOn w:val="DefaultParagraphFont"/>
    <w:link w:val="FootnoteText"/>
    <w:uiPriority w:val="99"/>
    <w:rsid w:val="00813CCB"/>
    <w:rPr>
      <w:sz w:val="20"/>
      <w:szCs w:val="20"/>
    </w:rPr>
  </w:style>
  <w:style w:type="character" w:styleId="FootnoteReference">
    <w:name w:val="footnote reference"/>
    <w:basedOn w:val="DefaultParagraphFont"/>
    <w:semiHidden/>
    <w:unhideWhenUsed/>
    <w:rsid w:val="00813CCB"/>
    <w:rPr>
      <w:vertAlign w:val="superscript"/>
    </w:rPr>
  </w:style>
  <w:style w:type="character" w:styleId="Hyperlink">
    <w:name w:val="Hyperlink"/>
    <w:basedOn w:val="DefaultParagraphFont"/>
    <w:uiPriority w:val="99"/>
    <w:unhideWhenUsed/>
    <w:rsid w:val="00625ADB"/>
    <w:rPr>
      <w:color w:val="0000FF" w:themeColor="hyperlink"/>
      <w:u w:val="single"/>
    </w:rPr>
  </w:style>
  <w:style w:type="paragraph" w:styleId="EndnoteText">
    <w:name w:val="endnote text"/>
    <w:basedOn w:val="Normal"/>
    <w:link w:val="EndnoteTextChar"/>
    <w:uiPriority w:val="99"/>
    <w:semiHidden/>
    <w:unhideWhenUsed/>
    <w:rsid w:val="00CE22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22BF"/>
    <w:rPr>
      <w:sz w:val="20"/>
      <w:szCs w:val="20"/>
    </w:rPr>
  </w:style>
  <w:style w:type="character" w:styleId="EndnoteReference">
    <w:name w:val="endnote reference"/>
    <w:basedOn w:val="DefaultParagraphFont"/>
    <w:uiPriority w:val="99"/>
    <w:semiHidden/>
    <w:unhideWhenUsed/>
    <w:rsid w:val="00CE22B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13CCB"/>
    <w:pPr>
      <w:spacing w:after="0" w:line="240" w:lineRule="auto"/>
    </w:pPr>
    <w:rPr>
      <w:sz w:val="20"/>
      <w:szCs w:val="20"/>
    </w:rPr>
  </w:style>
  <w:style w:type="character" w:customStyle="1" w:styleId="FootnoteTextChar">
    <w:name w:val="Footnote Text Char"/>
    <w:basedOn w:val="DefaultParagraphFont"/>
    <w:link w:val="FootnoteText"/>
    <w:uiPriority w:val="99"/>
    <w:rsid w:val="00813CCB"/>
    <w:rPr>
      <w:sz w:val="20"/>
      <w:szCs w:val="20"/>
    </w:rPr>
  </w:style>
  <w:style w:type="character" w:styleId="FootnoteReference">
    <w:name w:val="footnote reference"/>
    <w:basedOn w:val="DefaultParagraphFont"/>
    <w:semiHidden/>
    <w:unhideWhenUsed/>
    <w:rsid w:val="00813CCB"/>
    <w:rPr>
      <w:vertAlign w:val="superscript"/>
    </w:rPr>
  </w:style>
  <w:style w:type="character" w:styleId="Hyperlink">
    <w:name w:val="Hyperlink"/>
    <w:basedOn w:val="DefaultParagraphFont"/>
    <w:uiPriority w:val="99"/>
    <w:unhideWhenUsed/>
    <w:rsid w:val="00625ADB"/>
    <w:rPr>
      <w:color w:val="0000FF" w:themeColor="hyperlink"/>
      <w:u w:val="single"/>
    </w:rPr>
  </w:style>
  <w:style w:type="paragraph" w:styleId="EndnoteText">
    <w:name w:val="endnote text"/>
    <w:basedOn w:val="Normal"/>
    <w:link w:val="EndnoteTextChar"/>
    <w:uiPriority w:val="99"/>
    <w:semiHidden/>
    <w:unhideWhenUsed/>
    <w:rsid w:val="00CE22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22BF"/>
    <w:rPr>
      <w:sz w:val="20"/>
      <w:szCs w:val="20"/>
    </w:rPr>
  </w:style>
  <w:style w:type="character" w:styleId="EndnoteReference">
    <w:name w:val="endnote reference"/>
    <w:basedOn w:val="DefaultParagraphFont"/>
    <w:uiPriority w:val="99"/>
    <w:semiHidden/>
    <w:unhideWhenUsed/>
    <w:rsid w:val="00CE22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8668">
      <w:bodyDiv w:val="1"/>
      <w:marLeft w:val="0"/>
      <w:marRight w:val="0"/>
      <w:marTop w:val="0"/>
      <w:marBottom w:val="0"/>
      <w:divBdr>
        <w:top w:val="none" w:sz="0" w:space="0" w:color="auto"/>
        <w:left w:val="none" w:sz="0" w:space="0" w:color="auto"/>
        <w:bottom w:val="none" w:sz="0" w:space="0" w:color="auto"/>
        <w:right w:val="none" w:sz="0" w:space="0" w:color="auto"/>
      </w:divBdr>
    </w:div>
    <w:div w:id="1423799861">
      <w:bodyDiv w:val="1"/>
      <w:marLeft w:val="0"/>
      <w:marRight w:val="0"/>
      <w:marTop w:val="0"/>
      <w:marBottom w:val="0"/>
      <w:divBdr>
        <w:top w:val="none" w:sz="0" w:space="0" w:color="auto"/>
        <w:left w:val="none" w:sz="0" w:space="0" w:color="auto"/>
        <w:bottom w:val="none" w:sz="0" w:space="0" w:color="auto"/>
        <w:right w:val="none" w:sz="0" w:space="0" w:color="auto"/>
      </w:divBdr>
    </w:div>
    <w:div w:id="1512258231">
      <w:bodyDiv w:val="1"/>
      <w:marLeft w:val="0"/>
      <w:marRight w:val="0"/>
      <w:marTop w:val="0"/>
      <w:marBottom w:val="0"/>
      <w:divBdr>
        <w:top w:val="none" w:sz="0" w:space="0" w:color="auto"/>
        <w:left w:val="none" w:sz="0" w:space="0" w:color="auto"/>
        <w:bottom w:val="none" w:sz="0" w:space="0" w:color="auto"/>
        <w:right w:val="none" w:sz="0" w:space="0" w:color="auto"/>
      </w:divBdr>
    </w:div>
    <w:div w:id="19725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greenpeace.org.ar/blogbosques/" TargetMode="External"/><Relationship Id="rId2" Type="http://schemas.openxmlformats.org/officeDocument/2006/relationships/hyperlink" Target="http://www1.hcdn.gov.ar/sesionesxml/mltsearchfull.asp" TargetMode="External"/><Relationship Id="rId3" Type="http://schemas.openxmlformats.org/officeDocument/2006/relationships/hyperlink" Target="http://www1.hcdn.gov.ar/sesionesxml/mltsearchfull.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7DFC4-0301-104C-A5C4-E1E490815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2207</TotalTime>
  <Pages>14</Pages>
  <Words>4544</Words>
  <Characters>25902</Characters>
  <Application>Microsoft Macintosh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María Belén Pepe</cp:lastModifiedBy>
  <cp:revision>56</cp:revision>
  <dcterms:created xsi:type="dcterms:W3CDTF">2016-11-05T14:33:00Z</dcterms:created>
  <dcterms:modified xsi:type="dcterms:W3CDTF">2018-02-28T21:45:00Z</dcterms:modified>
</cp:coreProperties>
</file>