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A9B87" w14:textId="77777777" w:rsidR="008D7FA6" w:rsidRPr="00D269C7" w:rsidRDefault="006757E4" w:rsidP="00A11B69">
      <w:pPr>
        <w:spacing w:line="360" w:lineRule="auto"/>
        <w:jc w:val="both"/>
        <w:rPr>
          <w:rFonts w:ascii="Times New Roman" w:eastAsia="Times New Roman" w:hAnsi="Times New Roman" w:cs="Times New Roman"/>
          <w:b/>
          <w:sz w:val="24"/>
          <w:szCs w:val="24"/>
        </w:rPr>
      </w:pPr>
      <w:bookmarkStart w:id="0" w:name="_GoBack"/>
      <w:r w:rsidRPr="00D269C7">
        <w:rPr>
          <w:rFonts w:ascii="Times New Roman" w:eastAsia="Times New Roman" w:hAnsi="Times New Roman" w:cs="Times New Roman"/>
          <w:b/>
          <w:sz w:val="24"/>
          <w:szCs w:val="24"/>
        </w:rPr>
        <w:t>Re-situando el peritaje antropológico en la defensa penal pública chilena</w:t>
      </w:r>
    </w:p>
    <w:bookmarkEnd w:id="0"/>
    <w:p w14:paraId="2D2D75CB" w14:textId="77777777" w:rsidR="008D7FA6" w:rsidRPr="00D269C7" w:rsidRDefault="008D7FA6" w:rsidP="00A11B69">
      <w:pPr>
        <w:spacing w:line="360" w:lineRule="auto"/>
        <w:jc w:val="both"/>
        <w:rPr>
          <w:rFonts w:ascii="Times New Roman" w:eastAsia="Times New Roman" w:hAnsi="Times New Roman" w:cs="Times New Roman"/>
          <w:b/>
          <w:sz w:val="24"/>
          <w:szCs w:val="24"/>
        </w:rPr>
      </w:pPr>
    </w:p>
    <w:p w14:paraId="440CA7DD" w14:textId="77777777" w:rsidR="008D7FA6" w:rsidRPr="00D269C7" w:rsidRDefault="006757E4" w:rsidP="00A11B69">
      <w:pPr>
        <w:spacing w:line="360" w:lineRule="auto"/>
        <w:jc w:val="both"/>
        <w:rPr>
          <w:rFonts w:ascii="Times New Roman" w:eastAsia="Times New Roman" w:hAnsi="Times New Roman" w:cs="Times New Roman"/>
          <w:sz w:val="24"/>
          <w:szCs w:val="24"/>
        </w:rPr>
      </w:pPr>
      <w:r w:rsidRPr="00D269C7">
        <w:rPr>
          <w:rFonts w:ascii="Times New Roman" w:eastAsia="Times New Roman" w:hAnsi="Times New Roman" w:cs="Times New Roman"/>
          <w:sz w:val="24"/>
          <w:szCs w:val="24"/>
        </w:rPr>
        <w:t>Marcelo Berho Castillo</w:t>
      </w:r>
    </w:p>
    <w:p w14:paraId="3490AF30" w14:textId="77777777" w:rsidR="008D7FA6" w:rsidRPr="00D269C7" w:rsidRDefault="00A11B69" w:rsidP="00A11B69">
      <w:pPr>
        <w:spacing w:line="360" w:lineRule="auto"/>
        <w:jc w:val="both"/>
        <w:rPr>
          <w:rFonts w:ascii="Times New Roman" w:eastAsia="Times New Roman" w:hAnsi="Times New Roman" w:cs="Times New Roman"/>
          <w:sz w:val="24"/>
          <w:szCs w:val="24"/>
        </w:rPr>
      </w:pPr>
      <w:hyperlink r:id="rId9" w:history="1">
        <w:r w:rsidR="001632B7" w:rsidRPr="00D269C7">
          <w:rPr>
            <w:rStyle w:val="Hyperlink"/>
            <w:rFonts w:ascii="Times New Roman" w:eastAsia="Times New Roman" w:hAnsi="Times New Roman" w:cs="Times New Roman"/>
            <w:sz w:val="24"/>
            <w:szCs w:val="24"/>
          </w:rPr>
          <w:t>mberho@uct.cl</w:t>
        </w:r>
      </w:hyperlink>
    </w:p>
    <w:p w14:paraId="2D9D9F7A" w14:textId="77777777" w:rsidR="001632B7" w:rsidRPr="00D269C7" w:rsidRDefault="001632B7" w:rsidP="00A11B69">
      <w:pPr>
        <w:spacing w:line="360" w:lineRule="auto"/>
        <w:jc w:val="both"/>
        <w:rPr>
          <w:rFonts w:ascii="Times New Roman" w:eastAsia="Times New Roman" w:hAnsi="Times New Roman" w:cs="Times New Roman"/>
          <w:sz w:val="24"/>
          <w:szCs w:val="24"/>
        </w:rPr>
      </w:pPr>
      <w:r w:rsidRPr="00D269C7">
        <w:rPr>
          <w:rFonts w:ascii="Times New Roman" w:eastAsia="Times New Roman" w:hAnsi="Times New Roman" w:cs="Times New Roman"/>
          <w:sz w:val="24"/>
          <w:szCs w:val="24"/>
        </w:rPr>
        <w:t>Centro de Estudios Socioculturales – Departamento de Antropología, Facultad de Ciencias Sociales, Universidad Católica de Temuco</w:t>
      </w:r>
    </w:p>
    <w:p w14:paraId="12FBD966" w14:textId="77777777" w:rsidR="00A11B69" w:rsidRDefault="00A11B69" w:rsidP="00A11B69">
      <w:pPr>
        <w:spacing w:line="360" w:lineRule="auto"/>
        <w:jc w:val="both"/>
        <w:rPr>
          <w:rFonts w:ascii="Times New Roman" w:eastAsia="Times New Roman" w:hAnsi="Times New Roman" w:cs="Times New Roman"/>
          <w:sz w:val="24"/>
          <w:szCs w:val="24"/>
        </w:rPr>
      </w:pPr>
    </w:p>
    <w:p w14:paraId="62CFDBDE" w14:textId="77777777" w:rsidR="008D7FA6" w:rsidRPr="00D269C7" w:rsidRDefault="006757E4" w:rsidP="00A11B69">
      <w:pPr>
        <w:spacing w:line="360" w:lineRule="auto"/>
        <w:jc w:val="both"/>
        <w:rPr>
          <w:rFonts w:ascii="Times New Roman" w:eastAsia="Times New Roman" w:hAnsi="Times New Roman" w:cs="Times New Roman"/>
          <w:b/>
          <w:sz w:val="24"/>
          <w:szCs w:val="24"/>
        </w:rPr>
      </w:pPr>
      <w:r w:rsidRPr="00D269C7">
        <w:rPr>
          <w:rFonts w:ascii="Times New Roman" w:eastAsia="Times New Roman" w:hAnsi="Times New Roman" w:cs="Times New Roman"/>
          <w:b/>
          <w:sz w:val="24"/>
          <w:szCs w:val="24"/>
        </w:rPr>
        <w:t>1.- Creando condiciones para poner la antropología en escena</w:t>
      </w:r>
    </w:p>
    <w:p w14:paraId="5B32CE3B" w14:textId="77777777" w:rsidR="008D7FA6" w:rsidRPr="00D269C7" w:rsidRDefault="008D7FA6" w:rsidP="00A11B69">
      <w:pPr>
        <w:spacing w:line="360" w:lineRule="auto"/>
        <w:jc w:val="both"/>
        <w:rPr>
          <w:rFonts w:ascii="Times New Roman" w:eastAsia="Times New Roman" w:hAnsi="Times New Roman" w:cs="Times New Roman"/>
          <w:sz w:val="24"/>
          <w:szCs w:val="24"/>
        </w:rPr>
      </w:pPr>
    </w:p>
    <w:p w14:paraId="471E8D91" w14:textId="77777777" w:rsidR="008D7FA6" w:rsidRPr="00D269C7" w:rsidRDefault="006757E4" w:rsidP="00A11B69">
      <w:pPr>
        <w:spacing w:line="360" w:lineRule="auto"/>
        <w:jc w:val="both"/>
        <w:rPr>
          <w:rFonts w:ascii="Times New Roman" w:eastAsia="Times New Roman" w:hAnsi="Times New Roman" w:cs="Times New Roman"/>
          <w:sz w:val="24"/>
          <w:szCs w:val="24"/>
        </w:rPr>
      </w:pPr>
      <w:r w:rsidRPr="00D269C7">
        <w:rPr>
          <w:rFonts w:ascii="Times New Roman" w:eastAsia="Times New Roman" w:hAnsi="Times New Roman" w:cs="Times New Roman"/>
          <w:sz w:val="24"/>
          <w:szCs w:val="24"/>
        </w:rPr>
        <w:t xml:space="preserve">El peritaje antropológico (en adelante PA) ha ido creciendo en popularidad en los círculos académicos y extra-académicos en los que se despliega como parte del quehacer de las/los antropólogos y abogados en Chile y América Latina. Cuando me formé en antropología, entre 1992 y 1996, el PA era una expresión desconocida e inusual entre docentes y estudiantes de la carrera. Veinte años después, entre 2012 y 2016, he participado, junto con otros colegas y colaboradores en poner el tema en el medio académico e institucional chileno, comprometiendo en su uso tanto a abogados como a antropólogos, profesionales y estudiantes. Tomando en cuenta la tarea silenciosa que algunos de los colegas realizaban por entonces, y la propia experiencia al realizar PA, </w:t>
      </w:r>
      <w:r w:rsidR="00D269C7">
        <w:rPr>
          <w:rFonts w:ascii="Times New Roman" w:eastAsia="Times New Roman" w:hAnsi="Times New Roman" w:cs="Times New Roman"/>
          <w:sz w:val="24"/>
          <w:szCs w:val="24"/>
        </w:rPr>
        <w:t>advertí</w:t>
      </w:r>
      <w:r w:rsidRPr="00D269C7">
        <w:rPr>
          <w:rFonts w:ascii="Times New Roman" w:eastAsia="Times New Roman" w:hAnsi="Times New Roman" w:cs="Times New Roman"/>
          <w:sz w:val="24"/>
          <w:szCs w:val="24"/>
        </w:rPr>
        <w:t xml:space="preserve"> que había una instancia de la cual extraer interesantes lecciones para practicar la antropología. De este modo</w:t>
      </w:r>
      <w:r w:rsidR="00D269C7">
        <w:rPr>
          <w:rFonts w:ascii="Times New Roman" w:eastAsia="Times New Roman" w:hAnsi="Times New Roman" w:cs="Times New Roman"/>
          <w:sz w:val="24"/>
          <w:szCs w:val="24"/>
        </w:rPr>
        <w:t>,</w:t>
      </w:r>
      <w:r w:rsidRPr="00D269C7">
        <w:rPr>
          <w:rFonts w:ascii="Times New Roman" w:eastAsia="Times New Roman" w:hAnsi="Times New Roman" w:cs="Times New Roman"/>
          <w:sz w:val="24"/>
          <w:szCs w:val="24"/>
        </w:rPr>
        <w:t xml:space="preserve"> comenzamos a buscar antecedentes y a informarnos sobre el campo, tanto a nivel teórico como metodológico, acercándonos a la visión que tenían al respecto los defensores penales públicos que solicitaban nuestros servicios. Organizamos entonces un ciclo de coloquios sobre PA aplicado a distintos ámbitos de la gestión pública estatal </w:t>
      </w:r>
      <w:r w:rsidR="00D269C7">
        <w:rPr>
          <w:rFonts w:ascii="Times New Roman" w:eastAsia="Times New Roman" w:hAnsi="Times New Roman" w:cs="Times New Roman"/>
          <w:sz w:val="24"/>
          <w:szCs w:val="24"/>
        </w:rPr>
        <w:t>(</w:t>
      </w:r>
      <w:r w:rsidRPr="00D269C7">
        <w:rPr>
          <w:rFonts w:ascii="Times New Roman" w:eastAsia="Times New Roman" w:hAnsi="Times New Roman" w:cs="Times New Roman"/>
          <w:sz w:val="24"/>
          <w:szCs w:val="24"/>
        </w:rPr>
        <w:t>penal, medioambiental y territorial</w:t>
      </w:r>
      <w:r w:rsidR="00D269C7">
        <w:rPr>
          <w:rFonts w:ascii="Times New Roman" w:eastAsia="Times New Roman" w:hAnsi="Times New Roman" w:cs="Times New Roman"/>
          <w:sz w:val="24"/>
          <w:szCs w:val="24"/>
        </w:rPr>
        <w:t>)</w:t>
      </w:r>
      <w:r w:rsidRPr="00D269C7">
        <w:rPr>
          <w:rFonts w:ascii="Times New Roman" w:eastAsia="Times New Roman" w:hAnsi="Times New Roman" w:cs="Times New Roman"/>
          <w:sz w:val="24"/>
          <w:szCs w:val="24"/>
        </w:rPr>
        <w:t>. El ciclo permitió visualizar las condiciones y posibilidades del PA en términos materiales, institucionales, profesionales y disciplinarios. Dado el entusiasmo con que el ciclo fue recibido por los defensores penales de la Defensoría Penal Pública (en adelante DPP) de La Araucanía, decidimos conversar con sus autoridades para estudiar posibles articulaciones. Fue así que llegamos a levantar un proyecto de antropología aplicada en el que fuimos los antropólogos los que planteamos los problemas a los abogados, quienes confiaron en nosotros y actuaron como “institución interesada” en el proyecto.</w:t>
      </w:r>
      <w:r w:rsidR="00D269C7">
        <w:rPr>
          <w:rStyle w:val="FootnoteReference"/>
          <w:rFonts w:ascii="Times New Roman" w:eastAsia="Times New Roman" w:hAnsi="Times New Roman" w:cs="Times New Roman"/>
          <w:sz w:val="24"/>
          <w:szCs w:val="24"/>
        </w:rPr>
        <w:footnoteReference w:id="1"/>
      </w:r>
      <w:r w:rsidRPr="00D269C7">
        <w:rPr>
          <w:rFonts w:ascii="Times New Roman" w:eastAsia="Times New Roman" w:hAnsi="Times New Roman" w:cs="Times New Roman"/>
          <w:sz w:val="24"/>
          <w:szCs w:val="24"/>
        </w:rPr>
        <w:t xml:space="preserve"> </w:t>
      </w:r>
    </w:p>
    <w:p w14:paraId="7A29CF3C" w14:textId="77777777" w:rsidR="008D7FA6" w:rsidRPr="00D269C7" w:rsidRDefault="006757E4" w:rsidP="00A11B69">
      <w:pPr>
        <w:spacing w:line="360" w:lineRule="auto"/>
        <w:jc w:val="both"/>
        <w:rPr>
          <w:rFonts w:ascii="Times New Roman" w:eastAsia="Times New Roman" w:hAnsi="Times New Roman" w:cs="Times New Roman"/>
          <w:sz w:val="24"/>
          <w:szCs w:val="24"/>
        </w:rPr>
      </w:pPr>
      <w:r w:rsidRPr="00D269C7">
        <w:rPr>
          <w:rFonts w:ascii="Times New Roman" w:eastAsia="Times New Roman" w:hAnsi="Times New Roman" w:cs="Times New Roman"/>
          <w:sz w:val="24"/>
          <w:szCs w:val="24"/>
        </w:rPr>
        <w:lastRenderedPageBreak/>
        <w:t xml:space="preserve">Una de las razones más poderosas que </w:t>
      </w:r>
      <w:r w:rsidR="00D269C7">
        <w:rPr>
          <w:rFonts w:ascii="Times New Roman" w:eastAsia="Times New Roman" w:hAnsi="Times New Roman" w:cs="Times New Roman"/>
          <w:sz w:val="24"/>
          <w:szCs w:val="24"/>
        </w:rPr>
        <w:t>nos</w:t>
      </w:r>
      <w:r w:rsidRPr="00D269C7">
        <w:rPr>
          <w:rFonts w:ascii="Times New Roman" w:eastAsia="Times New Roman" w:hAnsi="Times New Roman" w:cs="Times New Roman"/>
          <w:sz w:val="24"/>
          <w:szCs w:val="24"/>
        </w:rPr>
        <w:t xml:space="preserve"> llevó a entrar en escena fue la conexión ético-política que </w:t>
      </w:r>
      <w:r w:rsidR="00D269C7">
        <w:rPr>
          <w:rFonts w:ascii="Times New Roman" w:eastAsia="Times New Roman" w:hAnsi="Times New Roman" w:cs="Times New Roman"/>
          <w:sz w:val="24"/>
          <w:szCs w:val="24"/>
        </w:rPr>
        <w:t>supone</w:t>
      </w:r>
      <w:r w:rsidRPr="00D269C7">
        <w:rPr>
          <w:rFonts w:ascii="Times New Roman" w:eastAsia="Times New Roman" w:hAnsi="Times New Roman" w:cs="Times New Roman"/>
          <w:sz w:val="24"/>
          <w:szCs w:val="24"/>
        </w:rPr>
        <w:t xml:space="preserve"> el campo pericial en la administración de justicia en Chile. Como antropólogo formado en La Araucanía, bajo el signo de una antropología aplicada en ciernes, la relación interétnica chileno - mapuche es cotidiana y a la vez problemática. En el orden cotidiano, cada cual vive la relación de una manera que va del gesto espontáneo de reconocimiento de las diferencias hasta su negación en nombre de una incuestionada esencia nacional. En tanto problemática, la relación es inexcusable para la antropología y sus practicantes, quienes pueden tomar posiciones de mayor o menor distancia teórica y política al respecto, pero no pueden permanecer incólumes ante el carácter imperativo del problema. </w:t>
      </w:r>
      <w:r w:rsidR="00D269C7">
        <w:rPr>
          <w:rFonts w:ascii="Times New Roman" w:eastAsia="Times New Roman" w:hAnsi="Times New Roman" w:cs="Times New Roman"/>
          <w:sz w:val="24"/>
          <w:szCs w:val="24"/>
        </w:rPr>
        <w:t xml:space="preserve">Otra razón fue </w:t>
      </w:r>
      <w:r w:rsidRPr="00D269C7">
        <w:rPr>
          <w:rFonts w:ascii="Times New Roman" w:eastAsia="Times New Roman" w:hAnsi="Times New Roman" w:cs="Times New Roman"/>
          <w:sz w:val="24"/>
          <w:szCs w:val="24"/>
        </w:rPr>
        <w:t xml:space="preserve">que la mayor parte de los casos en los que somos convocados a participar como peritos, conciernen a cuestiones prácticamente innominadas en la antropología académica. Detrás de este hecho subyace una actitud de sentido común que atraviesa el saber canónico referido a temas, problemas y campos de interés académico, que representarían las esferas autorizadas y legítimas de la investigación y el conocimiento estimado como relevante. Es obvio que esta forma </w:t>
      </w:r>
      <w:r w:rsidR="00D269C7">
        <w:rPr>
          <w:rFonts w:ascii="Times New Roman" w:eastAsia="Times New Roman" w:hAnsi="Times New Roman" w:cs="Times New Roman"/>
          <w:sz w:val="24"/>
          <w:szCs w:val="24"/>
        </w:rPr>
        <w:t>puede cercenar</w:t>
      </w:r>
      <w:r w:rsidRPr="00D269C7">
        <w:rPr>
          <w:rFonts w:ascii="Times New Roman" w:eastAsia="Times New Roman" w:hAnsi="Times New Roman" w:cs="Times New Roman"/>
          <w:sz w:val="24"/>
          <w:szCs w:val="24"/>
        </w:rPr>
        <w:t xml:space="preserve"> el desenvolvimiento del espíritu científico, orientado al descubrimiento y la innovación </w:t>
      </w:r>
      <w:r w:rsidR="00D269C7">
        <w:rPr>
          <w:rFonts w:ascii="Times New Roman" w:eastAsia="Times New Roman" w:hAnsi="Times New Roman" w:cs="Times New Roman"/>
          <w:sz w:val="24"/>
          <w:szCs w:val="24"/>
        </w:rPr>
        <w:t xml:space="preserve">antes </w:t>
      </w:r>
      <w:r w:rsidRPr="00D269C7">
        <w:rPr>
          <w:rFonts w:ascii="Times New Roman" w:eastAsia="Times New Roman" w:hAnsi="Times New Roman" w:cs="Times New Roman"/>
          <w:sz w:val="24"/>
          <w:szCs w:val="24"/>
        </w:rPr>
        <w:t>que a la repetición y la inercia de los lugares comunes.</w:t>
      </w:r>
    </w:p>
    <w:p w14:paraId="31002FA7" w14:textId="77777777" w:rsidR="008D7FA6" w:rsidRPr="00D269C7" w:rsidRDefault="006757E4" w:rsidP="00A11B69">
      <w:pPr>
        <w:spacing w:line="360" w:lineRule="auto"/>
        <w:jc w:val="both"/>
        <w:rPr>
          <w:rFonts w:ascii="Times New Roman" w:eastAsia="Times New Roman" w:hAnsi="Times New Roman" w:cs="Times New Roman"/>
          <w:sz w:val="24"/>
          <w:szCs w:val="24"/>
        </w:rPr>
      </w:pPr>
      <w:r w:rsidRPr="00D269C7">
        <w:rPr>
          <w:rFonts w:ascii="Times New Roman" w:eastAsia="Times New Roman" w:hAnsi="Times New Roman" w:cs="Times New Roman"/>
          <w:sz w:val="24"/>
          <w:szCs w:val="24"/>
        </w:rPr>
        <w:t>Con un equipo de conformado por colegas antropólogos y abogados chilenos y mapuche de Temuco, asumimos la posibilidad de contribuir a aminorar las fricciones interétnicas chileno - mapuche al interior del campo de la justicia penal, situando el PA como una herramienta útil para la defensa penal. El ejercicio del PA en la DPP se sustenta en un marco que regula la gestión administrativa e institucional de la actividad. Este marco se concentra en aspectos normativos que ordenan el acceso, acreditación y evaluación del perito dentro de la institución. Para esto cuenta con el respaldo operativo de un sistema de registro informático de peritos a nivel nacional, llamado SIAR. Estos dispositivos facilita</w:t>
      </w:r>
      <w:r w:rsidR="00D269C7">
        <w:rPr>
          <w:rFonts w:ascii="Times New Roman" w:eastAsia="Times New Roman" w:hAnsi="Times New Roman" w:cs="Times New Roman"/>
          <w:sz w:val="24"/>
          <w:szCs w:val="24"/>
        </w:rPr>
        <w:t>n</w:t>
      </w:r>
      <w:r w:rsidRPr="00D269C7">
        <w:rPr>
          <w:rFonts w:ascii="Times New Roman" w:eastAsia="Times New Roman" w:hAnsi="Times New Roman" w:cs="Times New Roman"/>
          <w:sz w:val="24"/>
          <w:szCs w:val="24"/>
        </w:rPr>
        <w:t xml:space="preserve"> el desarrollo del PA y, a juicio de algunos defensores, </w:t>
      </w:r>
      <w:r w:rsidR="00482EB7">
        <w:rPr>
          <w:rFonts w:ascii="Times New Roman" w:eastAsia="Times New Roman" w:hAnsi="Times New Roman" w:cs="Times New Roman"/>
          <w:sz w:val="24"/>
          <w:szCs w:val="24"/>
        </w:rPr>
        <w:t>tienen</w:t>
      </w:r>
      <w:r w:rsidRPr="00D269C7">
        <w:rPr>
          <w:rFonts w:ascii="Times New Roman" w:eastAsia="Times New Roman" w:hAnsi="Times New Roman" w:cs="Times New Roman"/>
          <w:sz w:val="24"/>
          <w:szCs w:val="24"/>
        </w:rPr>
        <w:t xml:space="preserve"> un impacto positivo en la defensa con imputados indígenas. No obstante, dicho marco es impreciso en cuanto a la definición de aspectos conceptuales y metodológicos relativos a las particularidades del PA. La perspectiva institucional presenta, asimismo, una concepción teóricamente restringida del PA, que lo liga a un concepto normativo de cultura, basado en una visión etnocéntrica y esencialista de la actividad humana, que requiere ser actualizada y adecuada a las actuales dinámicas del mundo globalizado en las que también participan los pueblos indígenas y sus integrantes. Igualmente, la base normativa que justifica el uso de PA en la DPP no es completa y desatiende los </w:t>
      </w:r>
      <w:r w:rsidRPr="00D269C7">
        <w:rPr>
          <w:rFonts w:ascii="Times New Roman" w:eastAsia="Times New Roman" w:hAnsi="Times New Roman" w:cs="Times New Roman"/>
          <w:sz w:val="24"/>
          <w:szCs w:val="24"/>
        </w:rPr>
        <w:lastRenderedPageBreak/>
        <w:t>avances más importantes desplegado</w:t>
      </w:r>
      <w:r w:rsidR="00482EB7">
        <w:rPr>
          <w:rFonts w:ascii="Times New Roman" w:eastAsia="Times New Roman" w:hAnsi="Times New Roman" w:cs="Times New Roman"/>
          <w:sz w:val="24"/>
          <w:szCs w:val="24"/>
        </w:rPr>
        <w:t>s</w:t>
      </w:r>
      <w:r w:rsidRPr="00D269C7">
        <w:rPr>
          <w:rFonts w:ascii="Times New Roman" w:eastAsia="Times New Roman" w:hAnsi="Times New Roman" w:cs="Times New Roman"/>
          <w:sz w:val="24"/>
          <w:szCs w:val="24"/>
        </w:rPr>
        <w:t xml:space="preserve"> durante la última década en materia de reconocimiento de los derechos a las diferencias socio-culturales, tanto en Chile como en el extranjero.</w:t>
      </w:r>
    </w:p>
    <w:p w14:paraId="6F30E112" w14:textId="77777777" w:rsidR="008D7FA6" w:rsidRPr="00D269C7" w:rsidRDefault="006757E4" w:rsidP="00A11B69">
      <w:pPr>
        <w:spacing w:line="360" w:lineRule="auto"/>
        <w:jc w:val="both"/>
        <w:rPr>
          <w:rFonts w:ascii="Times New Roman" w:eastAsia="Times New Roman" w:hAnsi="Times New Roman" w:cs="Times New Roman"/>
          <w:sz w:val="24"/>
          <w:szCs w:val="24"/>
        </w:rPr>
      </w:pPr>
      <w:r w:rsidRPr="00D269C7">
        <w:rPr>
          <w:rFonts w:ascii="Times New Roman" w:eastAsia="Times New Roman" w:hAnsi="Times New Roman" w:cs="Times New Roman"/>
          <w:sz w:val="24"/>
          <w:szCs w:val="24"/>
        </w:rPr>
        <w:t xml:space="preserve">Para abordar estas cuestiones diseñamos un proyecto de antropología aplicada que, aprovechando los avances realizados en la gestión pública del PA y los desarrollos de esta herramienta en América Latina, buscó robustecer el rol del PA en la DPP, de manera de avanzar hacia una justicia </w:t>
      </w:r>
      <w:r w:rsidR="007D3C66">
        <w:rPr>
          <w:rFonts w:ascii="Times New Roman" w:eastAsia="Times New Roman" w:hAnsi="Times New Roman" w:cs="Times New Roman"/>
          <w:sz w:val="24"/>
          <w:szCs w:val="24"/>
        </w:rPr>
        <w:t>pluralista y edificante</w:t>
      </w:r>
      <w:r w:rsidRPr="00D269C7">
        <w:rPr>
          <w:rFonts w:ascii="Times New Roman" w:eastAsia="Times New Roman" w:hAnsi="Times New Roman" w:cs="Times New Roman"/>
          <w:sz w:val="24"/>
          <w:szCs w:val="24"/>
        </w:rPr>
        <w:t xml:space="preserve">. Establecimos entonces un plan de trabajo en el que involucramos a la DPP en una iniciativa focalizada en el tratamiento del PA en tres niveles: </w:t>
      </w:r>
    </w:p>
    <w:p w14:paraId="413773B6" w14:textId="77777777" w:rsidR="001632B7" w:rsidRPr="00D269C7" w:rsidRDefault="001632B7" w:rsidP="00A11B69">
      <w:pPr>
        <w:spacing w:line="360" w:lineRule="auto"/>
        <w:jc w:val="both"/>
        <w:rPr>
          <w:rFonts w:ascii="Times New Roman" w:eastAsia="Times New Roman" w:hAnsi="Times New Roman" w:cs="Times New Roman"/>
          <w:sz w:val="24"/>
          <w:szCs w:val="24"/>
        </w:rPr>
      </w:pPr>
    </w:p>
    <w:p w14:paraId="075EF6D8" w14:textId="77777777" w:rsidR="008D7FA6" w:rsidRPr="00D269C7" w:rsidRDefault="003523C4" w:rsidP="00A11B69">
      <w:pPr>
        <w:numPr>
          <w:ilvl w:val="0"/>
          <w:numId w:val="2"/>
        </w:num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w:t>
      </w:r>
      <w:r w:rsidR="006757E4" w:rsidRPr="00D269C7">
        <w:rPr>
          <w:rFonts w:ascii="Times New Roman" w:eastAsia="Times New Roman" w:hAnsi="Times New Roman" w:cs="Times New Roman"/>
          <w:sz w:val="24"/>
          <w:szCs w:val="24"/>
        </w:rPr>
        <w:t xml:space="preserve"> epistémico, referido a las concepciones institucional</w:t>
      </w:r>
      <w:r>
        <w:rPr>
          <w:rFonts w:ascii="Times New Roman" w:eastAsia="Times New Roman" w:hAnsi="Times New Roman" w:cs="Times New Roman"/>
          <w:sz w:val="24"/>
          <w:szCs w:val="24"/>
        </w:rPr>
        <w:t>es</w:t>
      </w:r>
      <w:r w:rsidR="006757E4" w:rsidRPr="00D269C7">
        <w:rPr>
          <w:rFonts w:ascii="Times New Roman" w:eastAsia="Times New Roman" w:hAnsi="Times New Roman" w:cs="Times New Roman"/>
          <w:sz w:val="24"/>
          <w:szCs w:val="24"/>
        </w:rPr>
        <w:t xml:space="preserve"> acerca del PA, las que pueden ampliarse atendiendo a los avances científico-técnicos en la materia;</w:t>
      </w:r>
    </w:p>
    <w:p w14:paraId="61307B42" w14:textId="77777777" w:rsidR="008D7FA6" w:rsidRPr="00D269C7" w:rsidRDefault="003523C4" w:rsidP="00A11B69">
      <w:pPr>
        <w:numPr>
          <w:ilvl w:val="0"/>
          <w:numId w:val="2"/>
        </w:num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w:t>
      </w:r>
      <w:r w:rsidR="006757E4" w:rsidRPr="00D269C7">
        <w:rPr>
          <w:rFonts w:ascii="Times New Roman" w:eastAsia="Times New Roman" w:hAnsi="Times New Roman" w:cs="Times New Roman"/>
          <w:sz w:val="24"/>
          <w:szCs w:val="24"/>
        </w:rPr>
        <w:t xml:space="preserve"> normativo, en el que reposa cualquier forma de práctica y conocimiento extra-jurídico, incluyendo el PA, que participe en el proceso jurídico penal; y</w:t>
      </w:r>
    </w:p>
    <w:p w14:paraId="1BF5750F" w14:textId="77777777" w:rsidR="008D7FA6" w:rsidRPr="00D269C7" w:rsidRDefault="003523C4" w:rsidP="00A11B69">
      <w:pPr>
        <w:numPr>
          <w:ilvl w:val="0"/>
          <w:numId w:val="2"/>
        </w:num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w:t>
      </w:r>
      <w:r w:rsidR="006757E4" w:rsidRPr="00D269C7">
        <w:rPr>
          <w:rFonts w:ascii="Times New Roman" w:eastAsia="Times New Roman" w:hAnsi="Times New Roman" w:cs="Times New Roman"/>
          <w:sz w:val="24"/>
          <w:szCs w:val="24"/>
        </w:rPr>
        <w:t xml:space="preserve"> metodológico-procedimental, </w:t>
      </w:r>
      <w:r>
        <w:rPr>
          <w:rFonts w:ascii="Times New Roman" w:eastAsia="Times New Roman" w:hAnsi="Times New Roman" w:cs="Times New Roman"/>
          <w:sz w:val="24"/>
          <w:szCs w:val="24"/>
        </w:rPr>
        <w:t>que define</w:t>
      </w:r>
      <w:r w:rsidR="006757E4" w:rsidRPr="00D269C7">
        <w:rPr>
          <w:rFonts w:ascii="Times New Roman" w:eastAsia="Times New Roman" w:hAnsi="Times New Roman" w:cs="Times New Roman"/>
          <w:sz w:val="24"/>
          <w:szCs w:val="24"/>
        </w:rPr>
        <w:t xml:space="preserve"> las estrategias y fases de desenvolvimiento del PA e</w:t>
      </w:r>
      <w:r>
        <w:rPr>
          <w:rFonts w:ascii="Times New Roman" w:eastAsia="Times New Roman" w:hAnsi="Times New Roman" w:cs="Times New Roman"/>
          <w:sz w:val="24"/>
          <w:szCs w:val="24"/>
        </w:rPr>
        <w:t>n el marco de la defensa penal especializada</w:t>
      </w:r>
      <w:r w:rsidR="006757E4" w:rsidRPr="00D269C7">
        <w:rPr>
          <w:rFonts w:ascii="Times New Roman" w:eastAsia="Times New Roman" w:hAnsi="Times New Roman" w:cs="Times New Roman"/>
          <w:sz w:val="24"/>
          <w:szCs w:val="24"/>
        </w:rPr>
        <w:t xml:space="preserve">, ya sea en función de </w:t>
      </w:r>
      <w:r>
        <w:rPr>
          <w:rFonts w:ascii="Times New Roman" w:eastAsia="Times New Roman" w:hAnsi="Times New Roman" w:cs="Times New Roman"/>
          <w:sz w:val="24"/>
          <w:szCs w:val="24"/>
        </w:rPr>
        <w:t>la</w:t>
      </w:r>
      <w:r w:rsidR="006757E4" w:rsidRPr="00D269C7">
        <w:rPr>
          <w:rFonts w:ascii="Times New Roman" w:eastAsia="Times New Roman" w:hAnsi="Times New Roman" w:cs="Times New Roman"/>
          <w:sz w:val="24"/>
          <w:szCs w:val="24"/>
        </w:rPr>
        <w:t xml:space="preserve"> etnicidad o de cualquier otro tipo de inscripción sociocultural</w:t>
      </w:r>
      <w:r>
        <w:rPr>
          <w:rFonts w:ascii="Times New Roman" w:eastAsia="Times New Roman" w:hAnsi="Times New Roman" w:cs="Times New Roman"/>
          <w:sz w:val="24"/>
          <w:szCs w:val="24"/>
        </w:rPr>
        <w:t xml:space="preserve"> de las personas imputadas</w:t>
      </w:r>
      <w:r w:rsidR="006757E4" w:rsidRPr="00D269C7">
        <w:rPr>
          <w:rFonts w:ascii="Times New Roman" w:eastAsia="Times New Roman" w:hAnsi="Times New Roman" w:cs="Times New Roman"/>
          <w:sz w:val="24"/>
          <w:szCs w:val="24"/>
        </w:rPr>
        <w:t xml:space="preserve">. </w:t>
      </w:r>
    </w:p>
    <w:p w14:paraId="3298915F" w14:textId="77777777" w:rsidR="001632B7" w:rsidRPr="00D269C7" w:rsidRDefault="001632B7" w:rsidP="00A11B69">
      <w:pPr>
        <w:spacing w:line="360" w:lineRule="auto"/>
        <w:ind w:left="720"/>
        <w:contextualSpacing/>
        <w:jc w:val="both"/>
        <w:rPr>
          <w:rFonts w:ascii="Times New Roman" w:eastAsia="Times New Roman" w:hAnsi="Times New Roman" w:cs="Times New Roman"/>
          <w:sz w:val="24"/>
          <w:szCs w:val="24"/>
        </w:rPr>
      </w:pPr>
    </w:p>
    <w:p w14:paraId="220DC9F2" w14:textId="77777777" w:rsidR="008D7FA6" w:rsidRPr="00D269C7" w:rsidRDefault="006757E4" w:rsidP="00A11B69">
      <w:pPr>
        <w:spacing w:line="360" w:lineRule="auto"/>
        <w:jc w:val="both"/>
        <w:rPr>
          <w:rFonts w:ascii="Times New Roman" w:eastAsia="Times New Roman" w:hAnsi="Times New Roman" w:cs="Times New Roman"/>
          <w:sz w:val="24"/>
          <w:szCs w:val="24"/>
        </w:rPr>
      </w:pPr>
      <w:r w:rsidRPr="00D269C7">
        <w:rPr>
          <w:rFonts w:ascii="Times New Roman" w:eastAsia="Times New Roman" w:hAnsi="Times New Roman" w:cs="Times New Roman"/>
          <w:sz w:val="24"/>
          <w:szCs w:val="24"/>
        </w:rPr>
        <w:t xml:space="preserve">El tratamiento de cada uno de estos niveles combinó acercamientos de campo y gabinete, a partir de los cuales se establecieron fundamentos y orientaciones teórico-prácticas que permitieron repensar, en conjunto con los abogados de la DPP, el PA como una herramienta útil para un entendimiento fundado y, por tanto, ética y políticamente justo, de los hechos penales en el sistema de justicia estatal. </w:t>
      </w:r>
    </w:p>
    <w:p w14:paraId="060919FE" w14:textId="77777777" w:rsidR="008D7FA6" w:rsidRPr="00D269C7" w:rsidRDefault="008D7FA6" w:rsidP="00A11B69">
      <w:pPr>
        <w:spacing w:line="360" w:lineRule="auto"/>
        <w:jc w:val="both"/>
        <w:rPr>
          <w:rFonts w:ascii="Times New Roman" w:eastAsia="Times New Roman" w:hAnsi="Times New Roman" w:cs="Times New Roman"/>
          <w:sz w:val="24"/>
          <w:szCs w:val="24"/>
        </w:rPr>
      </w:pPr>
    </w:p>
    <w:p w14:paraId="2636C6EB" w14:textId="77777777" w:rsidR="008D7FA6" w:rsidRPr="00D269C7" w:rsidRDefault="006757E4" w:rsidP="00A11B69">
      <w:pPr>
        <w:spacing w:line="360" w:lineRule="auto"/>
        <w:jc w:val="both"/>
        <w:rPr>
          <w:rFonts w:ascii="Times New Roman" w:eastAsia="Times New Roman" w:hAnsi="Times New Roman" w:cs="Times New Roman"/>
          <w:b/>
          <w:sz w:val="24"/>
          <w:szCs w:val="24"/>
        </w:rPr>
      </w:pPr>
      <w:r w:rsidRPr="00D269C7">
        <w:rPr>
          <w:rFonts w:ascii="Times New Roman" w:eastAsia="Times New Roman" w:hAnsi="Times New Roman" w:cs="Times New Roman"/>
          <w:b/>
          <w:sz w:val="24"/>
          <w:szCs w:val="24"/>
        </w:rPr>
        <w:t>2. La escena</w:t>
      </w:r>
    </w:p>
    <w:p w14:paraId="1E79EE34" w14:textId="77777777" w:rsidR="008D7FA6" w:rsidRPr="00D269C7" w:rsidRDefault="006757E4" w:rsidP="00A11B69">
      <w:pPr>
        <w:spacing w:line="360" w:lineRule="auto"/>
        <w:jc w:val="both"/>
        <w:rPr>
          <w:rFonts w:ascii="Times New Roman" w:eastAsia="Times New Roman" w:hAnsi="Times New Roman" w:cs="Times New Roman"/>
          <w:sz w:val="24"/>
          <w:szCs w:val="24"/>
        </w:rPr>
      </w:pPr>
      <w:r w:rsidRPr="00D269C7">
        <w:rPr>
          <w:rFonts w:ascii="Times New Roman" w:eastAsia="Times New Roman" w:hAnsi="Times New Roman" w:cs="Times New Roman"/>
          <w:sz w:val="24"/>
          <w:szCs w:val="24"/>
        </w:rPr>
        <w:t>El PA tiene en Chile una trayectoria temporal distante y otra reciente. La trayectoria distante se remonta a 1953 y 1962, años en que el médico y etnólogo chileno-lituano Alejandro Lipschutz informó sobre dos casos en los que se imputaban delitos a personas mapuche bajo la forma de lo que actualmen</w:t>
      </w:r>
      <w:r w:rsidR="00392C25">
        <w:rPr>
          <w:rFonts w:ascii="Times New Roman" w:eastAsia="Times New Roman" w:hAnsi="Times New Roman" w:cs="Times New Roman"/>
          <w:sz w:val="24"/>
          <w:szCs w:val="24"/>
        </w:rPr>
        <w:t xml:space="preserve">te se designaría como casos de </w:t>
      </w:r>
      <w:r w:rsidRPr="00D269C7">
        <w:rPr>
          <w:rFonts w:ascii="Times New Roman" w:eastAsia="Times New Roman" w:hAnsi="Times New Roman" w:cs="Times New Roman"/>
          <w:sz w:val="24"/>
          <w:szCs w:val="24"/>
        </w:rPr>
        <w:t>error de comprensión culturalmente condicionados (Zaffaroni</w:t>
      </w:r>
      <w:r w:rsidR="001632B7" w:rsidRPr="00D269C7">
        <w:rPr>
          <w:rFonts w:ascii="Times New Roman" w:eastAsia="Times New Roman" w:hAnsi="Times New Roman" w:cs="Times New Roman"/>
          <w:sz w:val="24"/>
          <w:szCs w:val="24"/>
        </w:rPr>
        <w:t>, Alagia &amp; Slokar</w:t>
      </w:r>
      <w:r w:rsidRPr="00D269C7">
        <w:rPr>
          <w:rFonts w:ascii="Times New Roman" w:eastAsia="Times New Roman" w:hAnsi="Times New Roman" w:cs="Times New Roman"/>
          <w:sz w:val="24"/>
          <w:szCs w:val="24"/>
        </w:rPr>
        <w:t>, 2002). La trayectoria reciente, en tanto, tiene quince años y en ella el PA es prácticamente un producto de la reforma procesal penal, iniciada en La Araucanía y Coquimbo, en el año 2000.</w:t>
      </w:r>
    </w:p>
    <w:p w14:paraId="46B409A5" w14:textId="77777777" w:rsidR="008D7FA6" w:rsidRPr="00D269C7" w:rsidRDefault="006757E4" w:rsidP="00A11B69">
      <w:pPr>
        <w:spacing w:line="360" w:lineRule="auto"/>
        <w:jc w:val="both"/>
        <w:rPr>
          <w:rFonts w:ascii="Times New Roman" w:eastAsia="Times New Roman" w:hAnsi="Times New Roman" w:cs="Times New Roman"/>
          <w:sz w:val="24"/>
          <w:szCs w:val="24"/>
        </w:rPr>
      </w:pPr>
      <w:r w:rsidRPr="00D269C7">
        <w:rPr>
          <w:rFonts w:ascii="Times New Roman" w:eastAsia="Times New Roman" w:hAnsi="Times New Roman" w:cs="Times New Roman"/>
          <w:sz w:val="24"/>
          <w:szCs w:val="24"/>
        </w:rPr>
        <w:t>Con la creación en Temuco de la Defensoría Penal Mapuche el año 2003, y bajo el liderazgo de la abogada mapuche (QEPD) María del Rosario Salamanca, el PA se fue incorporando regular</w:t>
      </w:r>
      <w:r w:rsidR="00086D56">
        <w:rPr>
          <w:rFonts w:ascii="Times New Roman" w:eastAsia="Times New Roman" w:hAnsi="Times New Roman" w:cs="Times New Roman"/>
          <w:sz w:val="24"/>
          <w:szCs w:val="24"/>
        </w:rPr>
        <w:t>mente</w:t>
      </w:r>
      <w:r w:rsidRPr="00D269C7">
        <w:rPr>
          <w:rFonts w:ascii="Times New Roman" w:eastAsia="Times New Roman" w:hAnsi="Times New Roman" w:cs="Times New Roman"/>
          <w:sz w:val="24"/>
          <w:szCs w:val="24"/>
        </w:rPr>
        <w:t xml:space="preserve"> como recurso para la defensa de imputados mapuche en materias tales como </w:t>
      </w:r>
      <w:r w:rsidRPr="00D269C7">
        <w:rPr>
          <w:rFonts w:ascii="Times New Roman" w:eastAsia="Times New Roman" w:hAnsi="Times New Roman" w:cs="Times New Roman"/>
          <w:sz w:val="24"/>
          <w:szCs w:val="24"/>
        </w:rPr>
        <w:lastRenderedPageBreak/>
        <w:t xml:space="preserve">violencia intrafamiliar, abuso sexual impropio y otros conflictos </w:t>
      </w:r>
      <w:r w:rsidR="00086D56">
        <w:rPr>
          <w:rFonts w:ascii="Times New Roman" w:eastAsia="Times New Roman" w:hAnsi="Times New Roman" w:cs="Times New Roman"/>
          <w:sz w:val="24"/>
          <w:szCs w:val="24"/>
        </w:rPr>
        <w:t>asociados a</w:t>
      </w:r>
      <w:r w:rsidRPr="00D269C7">
        <w:rPr>
          <w:rFonts w:ascii="Times New Roman" w:eastAsia="Times New Roman" w:hAnsi="Times New Roman" w:cs="Times New Roman"/>
          <w:sz w:val="24"/>
          <w:szCs w:val="24"/>
        </w:rPr>
        <w:t xml:space="preserve">l proceso reivindicatorio en el </w:t>
      </w:r>
      <w:r w:rsidRPr="00D269C7">
        <w:rPr>
          <w:rFonts w:ascii="Times New Roman" w:eastAsia="Times New Roman" w:hAnsi="Times New Roman" w:cs="Times New Roman"/>
          <w:i/>
          <w:sz w:val="24"/>
          <w:szCs w:val="24"/>
        </w:rPr>
        <w:t>Waj Mapu</w:t>
      </w:r>
      <w:r w:rsidRPr="00D269C7">
        <w:rPr>
          <w:rFonts w:ascii="Times New Roman" w:eastAsia="Times New Roman" w:hAnsi="Times New Roman" w:cs="Times New Roman"/>
          <w:sz w:val="24"/>
          <w:szCs w:val="24"/>
        </w:rPr>
        <w:t xml:space="preserve">. </w:t>
      </w:r>
    </w:p>
    <w:p w14:paraId="03E2E719" w14:textId="77777777" w:rsidR="008D7FA6" w:rsidRPr="00D269C7" w:rsidRDefault="006757E4" w:rsidP="00A11B69">
      <w:pPr>
        <w:spacing w:line="360" w:lineRule="auto"/>
        <w:jc w:val="both"/>
        <w:rPr>
          <w:rFonts w:ascii="Times New Roman" w:eastAsia="Times New Roman" w:hAnsi="Times New Roman" w:cs="Times New Roman"/>
          <w:sz w:val="24"/>
          <w:szCs w:val="24"/>
        </w:rPr>
      </w:pPr>
      <w:r w:rsidRPr="00D269C7">
        <w:rPr>
          <w:rFonts w:ascii="Times New Roman" w:eastAsia="Times New Roman" w:hAnsi="Times New Roman" w:cs="Times New Roman"/>
          <w:sz w:val="24"/>
          <w:szCs w:val="24"/>
        </w:rPr>
        <w:t>El 2005 la DPP estableció el peritaje como uno de los recursos a los que podían recurrir los defensores penales de la entidad. Instituyó entonces un marco en el que definió el peritaje a nivel general, brindó los fundamentos normativos en los que éste descansa y trazó las fases y acciones orientadas a su gestión por parte de los defensores penales públicos (Oficio Ordinario 214). Nueve años más tarde, el 2014, la institución revisó y reformuló este marco, precisando aquellos aspectos normativos y procedimentales que afectaban la gestión pericial por parte de los usuarios (Resolución exenta 399). Ambos cambios repercutieron en el creciente interés y uso del PA por parte de los defensores penales públicos, quienes tienen el mandato de “mejorar continuamente la calidad del servicio prestado”, de acuerdo con los objetivos estratégicos de la institución.</w:t>
      </w:r>
    </w:p>
    <w:p w14:paraId="32C849A1" w14:textId="77777777" w:rsidR="008D7FA6" w:rsidRPr="00D269C7" w:rsidRDefault="006757E4" w:rsidP="00A11B69">
      <w:pPr>
        <w:spacing w:line="360" w:lineRule="auto"/>
        <w:jc w:val="both"/>
        <w:rPr>
          <w:rFonts w:ascii="Times New Roman" w:eastAsia="Times New Roman" w:hAnsi="Times New Roman" w:cs="Times New Roman"/>
          <w:sz w:val="24"/>
          <w:szCs w:val="24"/>
          <w:highlight w:val="white"/>
        </w:rPr>
      </w:pPr>
      <w:r w:rsidRPr="00D269C7">
        <w:rPr>
          <w:rFonts w:ascii="Times New Roman" w:eastAsia="Times New Roman" w:hAnsi="Times New Roman" w:cs="Times New Roman"/>
          <w:sz w:val="24"/>
          <w:szCs w:val="24"/>
        </w:rPr>
        <w:t xml:space="preserve">En este contexto, el uso del PA en Chile concierne principalmente </w:t>
      </w:r>
      <w:r w:rsidR="00086D56">
        <w:rPr>
          <w:rFonts w:ascii="Times New Roman" w:eastAsia="Times New Roman" w:hAnsi="Times New Roman" w:cs="Times New Roman"/>
          <w:sz w:val="24"/>
          <w:szCs w:val="24"/>
        </w:rPr>
        <w:t xml:space="preserve">a </w:t>
      </w:r>
      <w:r w:rsidRPr="00D269C7">
        <w:rPr>
          <w:rFonts w:ascii="Times New Roman" w:eastAsia="Times New Roman" w:hAnsi="Times New Roman" w:cs="Times New Roman"/>
          <w:sz w:val="24"/>
          <w:szCs w:val="24"/>
        </w:rPr>
        <w:t>sustent</w:t>
      </w:r>
      <w:r w:rsidR="00086D56">
        <w:rPr>
          <w:rFonts w:ascii="Times New Roman" w:eastAsia="Times New Roman" w:hAnsi="Times New Roman" w:cs="Times New Roman"/>
          <w:sz w:val="24"/>
          <w:szCs w:val="24"/>
        </w:rPr>
        <w:t>ar</w:t>
      </w:r>
      <w:r w:rsidRPr="00D269C7">
        <w:rPr>
          <w:rFonts w:ascii="Times New Roman" w:eastAsia="Times New Roman" w:hAnsi="Times New Roman" w:cs="Times New Roman"/>
          <w:sz w:val="24"/>
          <w:szCs w:val="24"/>
        </w:rPr>
        <w:t xml:space="preserve"> la teoría del caso en la defensa indígena (Lillo, 2010), así como a acreditar costumbres y afirmar la pertenencia y el arraigo cultural y territorial indígena (Álvarez, 2014; Rodríguez, 2012). </w:t>
      </w:r>
      <w:r w:rsidRPr="00D269C7">
        <w:rPr>
          <w:rFonts w:ascii="Times New Roman" w:eastAsia="Times New Roman" w:hAnsi="Times New Roman" w:cs="Times New Roman"/>
          <w:sz w:val="24"/>
          <w:szCs w:val="24"/>
          <w:highlight w:val="white"/>
        </w:rPr>
        <w:t xml:space="preserve">El análisis de los contenidos de los casos penales en La Araucanía muestra, en cambio,  que el PA ha servido y sirve para informar sobre distintos ámbitos de aplicación pericial, siendo uno de ellos, entre otros, el de la acreditación de la costumbre indígena. Este hallazgo permite discutir con quienes sostiene la tesis de la costumbre como </w:t>
      </w:r>
      <w:r w:rsidRPr="00D269C7">
        <w:rPr>
          <w:rFonts w:ascii="Times New Roman" w:eastAsia="Times New Roman" w:hAnsi="Times New Roman" w:cs="Times New Roman"/>
          <w:i/>
          <w:sz w:val="24"/>
          <w:szCs w:val="24"/>
          <w:highlight w:val="white"/>
        </w:rPr>
        <w:t>el</w:t>
      </w:r>
      <w:r w:rsidRPr="00D269C7">
        <w:rPr>
          <w:rFonts w:ascii="Times New Roman" w:eastAsia="Times New Roman" w:hAnsi="Times New Roman" w:cs="Times New Roman"/>
          <w:sz w:val="24"/>
          <w:szCs w:val="24"/>
          <w:highlight w:val="white"/>
        </w:rPr>
        <w:t xml:space="preserve"> fundamento de las solicitudes de PA</w:t>
      </w:r>
      <w:r w:rsidR="00086D56">
        <w:rPr>
          <w:rFonts w:ascii="Times New Roman" w:eastAsia="Times New Roman" w:hAnsi="Times New Roman" w:cs="Times New Roman"/>
          <w:sz w:val="24"/>
          <w:szCs w:val="24"/>
          <w:highlight w:val="white"/>
        </w:rPr>
        <w:t xml:space="preserve"> en La Araucanía (Álvarez, 2014</w:t>
      </w:r>
      <w:r w:rsidRPr="00D269C7">
        <w:rPr>
          <w:rFonts w:ascii="Times New Roman" w:eastAsia="Times New Roman" w:hAnsi="Times New Roman" w:cs="Times New Roman"/>
          <w:sz w:val="24"/>
          <w:szCs w:val="24"/>
          <w:highlight w:val="white"/>
        </w:rPr>
        <w:t>). Además de la acreditación de la costumbre indígena, la evidencia disponible indica que el PA ha servido principalmente para:</w:t>
      </w:r>
    </w:p>
    <w:p w14:paraId="48BD6B06" w14:textId="77777777" w:rsidR="008D7FA6" w:rsidRPr="00D269C7" w:rsidRDefault="008D7FA6" w:rsidP="00A11B69">
      <w:pPr>
        <w:spacing w:line="360" w:lineRule="auto"/>
        <w:jc w:val="both"/>
        <w:rPr>
          <w:rFonts w:ascii="Times New Roman" w:eastAsia="Times New Roman" w:hAnsi="Times New Roman" w:cs="Times New Roman"/>
          <w:sz w:val="24"/>
          <w:szCs w:val="24"/>
          <w:highlight w:val="white"/>
        </w:rPr>
      </w:pPr>
    </w:p>
    <w:p w14:paraId="25BF8E3D" w14:textId="77777777" w:rsidR="008D7FA6" w:rsidRPr="00D269C7" w:rsidRDefault="006757E4" w:rsidP="00A11B69">
      <w:pPr>
        <w:pStyle w:val="ListParagraph"/>
        <w:numPr>
          <w:ilvl w:val="0"/>
          <w:numId w:val="4"/>
        </w:numPr>
        <w:spacing w:line="360" w:lineRule="auto"/>
        <w:jc w:val="both"/>
        <w:rPr>
          <w:rFonts w:ascii="Times New Roman" w:eastAsia="Times New Roman" w:hAnsi="Times New Roman" w:cs="Times New Roman"/>
          <w:sz w:val="24"/>
          <w:szCs w:val="24"/>
        </w:rPr>
      </w:pPr>
      <w:r w:rsidRPr="00D269C7">
        <w:rPr>
          <w:rFonts w:ascii="Times New Roman" w:eastAsia="Times New Roman" w:hAnsi="Times New Roman" w:cs="Times New Roman"/>
          <w:sz w:val="24"/>
          <w:szCs w:val="24"/>
        </w:rPr>
        <w:t>reconstruir contextos de vida sociocultural y familiar de las personas imputadas;</w:t>
      </w:r>
    </w:p>
    <w:p w14:paraId="40C07175" w14:textId="77777777" w:rsidR="008D7FA6" w:rsidRPr="00D269C7" w:rsidRDefault="006757E4" w:rsidP="00A11B69">
      <w:pPr>
        <w:pStyle w:val="ListParagraph"/>
        <w:numPr>
          <w:ilvl w:val="0"/>
          <w:numId w:val="4"/>
        </w:numPr>
        <w:spacing w:line="360" w:lineRule="auto"/>
        <w:jc w:val="both"/>
        <w:rPr>
          <w:rFonts w:ascii="Times New Roman" w:eastAsia="Times New Roman" w:hAnsi="Times New Roman" w:cs="Times New Roman"/>
          <w:sz w:val="24"/>
          <w:szCs w:val="24"/>
        </w:rPr>
      </w:pPr>
      <w:r w:rsidRPr="00D269C7">
        <w:rPr>
          <w:rFonts w:ascii="Times New Roman" w:eastAsia="Times New Roman" w:hAnsi="Times New Roman" w:cs="Times New Roman"/>
          <w:sz w:val="24"/>
          <w:szCs w:val="24"/>
        </w:rPr>
        <w:t>reconstruir la historia de relaciones de asimilación forzada del Estado y la sociedad chilena sobre las instituciones sociales, las culturas y territorios indígenas;</w:t>
      </w:r>
    </w:p>
    <w:p w14:paraId="31CD714B" w14:textId="77777777" w:rsidR="008D7FA6" w:rsidRPr="00D269C7" w:rsidRDefault="006757E4" w:rsidP="00A11B69">
      <w:pPr>
        <w:pStyle w:val="ListParagraph"/>
        <w:numPr>
          <w:ilvl w:val="0"/>
          <w:numId w:val="4"/>
        </w:numPr>
        <w:spacing w:line="360" w:lineRule="auto"/>
        <w:jc w:val="both"/>
        <w:rPr>
          <w:rFonts w:ascii="Times New Roman" w:eastAsia="Times New Roman" w:hAnsi="Times New Roman" w:cs="Times New Roman"/>
          <w:sz w:val="24"/>
          <w:szCs w:val="24"/>
        </w:rPr>
      </w:pPr>
      <w:r w:rsidRPr="00D269C7">
        <w:rPr>
          <w:rFonts w:ascii="Times New Roman" w:eastAsia="Times New Roman" w:hAnsi="Times New Roman" w:cs="Times New Roman"/>
          <w:sz w:val="24"/>
          <w:szCs w:val="24"/>
        </w:rPr>
        <w:t>acreditar identidad, rol, estatus y/o pertenencia sociocultural;</w:t>
      </w:r>
    </w:p>
    <w:p w14:paraId="31801148" w14:textId="77777777" w:rsidR="008D7FA6" w:rsidRPr="00D269C7" w:rsidRDefault="006757E4" w:rsidP="00A11B69">
      <w:pPr>
        <w:pStyle w:val="ListParagraph"/>
        <w:numPr>
          <w:ilvl w:val="0"/>
          <w:numId w:val="4"/>
        </w:numPr>
        <w:spacing w:line="360" w:lineRule="auto"/>
        <w:jc w:val="both"/>
        <w:rPr>
          <w:rFonts w:ascii="Times New Roman" w:eastAsia="Times New Roman" w:hAnsi="Times New Roman" w:cs="Times New Roman"/>
          <w:sz w:val="24"/>
          <w:szCs w:val="24"/>
        </w:rPr>
      </w:pPr>
      <w:r w:rsidRPr="00D269C7">
        <w:rPr>
          <w:rFonts w:ascii="Times New Roman" w:eastAsia="Times New Roman" w:hAnsi="Times New Roman" w:cs="Times New Roman"/>
          <w:sz w:val="24"/>
          <w:szCs w:val="24"/>
        </w:rPr>
        <w:t>ilustrar fenómenos o hechos socioculturales emergentes;</w:t>
      </w:r>
    </w:p>
    <w:p w14:paraId="1923B221" w14:textId="77777777" w:rsidR="008D7FA6" w:rsidRPr="00D269C7" w:rsidRDefault="006757E4" w:rsidP="00A11B69">
      <w:pPr>
        <w:pStyle w:val="ListParagraph"/>
        <w:numPr>
          <w:ilvl w:val="0"/>
          <w:numId w:val="4"/>
        </w:numPr>
        <w:spacing w:line="360" w:lineRule="auto"/>
        <w:jc w:val="both"/>
        <w:rPr>
          <w:rFonts w:ascii="Times New Roman" w:eastAsia="Times New Roman" w:hAnsi="Times New Roman" w:cs="Times New Roman"/>
          <w:sz w:val="24"/>
          <w:szCs w:val="24"/>
        </w:rPr>
      </w:pPr>
      <w:r w:rsidRPr="00D269C7">
        <w:rPr>
          <w:rFonts w:ascii="Times New Roman" w:eastAsia="Times New Roman" w:hAnsi="Times New Roman" w:cs="Times New Roman"/>
          <w:sz w:val="24"/>
          <w:szCs w:val="24"/>
        </w:rPr>
        <w:t>esclarecer significados lingüístico-culturales, asociados a objetos, símbolos e instituciones vernáculos, y</w:t>
      </w:r>
    </w:p>
    <w:p w14:paraId="09754D98" w14:textId="77777777" w:rsidR="008D7FA6" w:rsidRPr="00D269C7" w:rsidRDefault="006757E4" w:rsidP="00A11B69">
      <w:pPr>
        <w:pStyle w:val="ListParagraph"/>
        <w:numPr>
          <w:ilvl w:val="0"/>
          <w:numId w:val="4"/>
        </w:numPr>
        <w:spacing w:line="360" w:lineRule="auto"/>
        <w:jc w:val="both"/>
        <w:rPr>
          <w:rFonts w:ascii="Times New Roman" w:eastAsia="Times New Roman" w:hAnsi="Times New Roman" w:cs="Times New Roman"/>
          <w:sz w:val="24"/>
          <w:szCs w:val="24"/>
        </w:rPr>
      </w:pPr>
      <w:r w:rsidRPr="00D269C7">
        <w:rPr>
          <w:rFonts w:ascii="Times New Roman" w:eastAsia="Times New Roman" w:hAnsi="Times New Roman" w:cs="Times New Roman"/>
          <w:sz w:val="24"/>
          <w:szCs w:val="24"/>
        </w:rPr>
        <w:t>acreditar arraigo socio-territorial de persona/s imputada/s.</w:t>
      </w:r>
    </w:p>
    <w:p w14:paraId="742E7D22" w14:textId="77777777" w:rsidR="008D7FA6" w:rsidRPr="00D269C7" w:rsidRDefault="008D7FA6" w:rsidP="00A11B69">
      <w:pPr>
        <w:spacing w:line="360" w:lineRule="auto"/>
        <w:jc w:val="both"/>
        <w:rPr>
          <w:rFonts w:ascii="Times New Roman" w:eastAsia="Times New Roman" w:hAnsi="Times New Roman" w:cs="Times New Roman"/>
          <w:sz w:val="24"/>
          <w:szCs w:val="24"/>
        </w:rPr>
      </w:pPr>
    </w:p>
    <w:p w14:paraId="3683750B" w14:textId="77777777" w:rsidR="008D7FA6" w:rsidRPr="00D269C7" w:rsidRDefault="006757E4" w:rsidP="00A11B69">
      <w:pPr>
        <w:spacing w:line="360" w:lineRule="auto"/>
        <w:jc w:val="both"/>
        <w:rPr>
          <w:rFonts w:ascii="Times New Roman" w:eastAsia="Times New Roman" w:hAnsi="Times New Roman" w:cs="Times New Roman"/>
          <w:sz w:val="24"/>
          <w:szCs w:val="24"/>
        </w:rPr>
      </w:pPr>
      <w:r w:rsidRPr="00D269C7">
        <w:rPr>
          <w:rFonts w:ascii="Times New Roman" w:eastAsia="Times New Roman" w:hAnsi="Times New Roman" w:cs="Times New Roman"/>
          <w:sz w:val="24"/>
          <w:szCs w:val="24"/>
        </w:rPr>
        <w:t xml:space="preserve">Estos ámbitos de aplicación del PA en la DPP están poderosamente asociados a objetivos procesales legalmente determinados. Así, el PA ha sido empleado para eximir o reducir penas </w:t>
      </w:r>
      <w:r w:rsidRPr="00D269C7">
        <w:rPr>
          <w:rFonts w:ascii="Times New Roman" w:eastAsia="Times New Roman" w:hAnsi="Times New Roman" w:cs="Times New Roman"/>
          <w:sz w:val="24"/>
          <w:szCs w:val="24"/>
        </w:rPr>
        <w:lastRenderedPageBreak/>
        <w:t xml:space="preserve">a imputados indígenas, siempre y cuando que, en virtud de la Ley Indígena 19.253 y/o el Convenio 169 de la OIT, esté en juego la “costumbre indígena”. </w:t>
      </w:r>
      <w:r w:rsidRPr="00D269C7">
        <w:rPr>
          <w:rFonts w:ascii="Times New Roman" w:eastAsia="Times New Roman" w:hAnsi="Times New Roman" w:cs="Times New Roman"/>
          <w:sz w:val="24"/>
          <w:szCs w:val="24"/>
          <w:highlight w:val="white"/>
        </w:rPr>
        <w:t>A este objetivo procesal se agregan los de salida alternativa, acuerdo reparatorio, cautela de garantía y determinación de penas, en los cuales el PA también puede aportar. De este modo, el PA y el/la perito pueden participar en acciones esenciales del proceso judicial, tales como la defensa, la decisión y la reparación.</w:t>
      </w:r>
    </w:p>
    <w:p w14:paraId="6C2DEBDA" w14:textId="77777777" w:rsidR="008D7FA6" w:rsidRPr="00D269C7" w:rsidRDefault="006757E4" w:rsidP="00A11B69">
      <w:pPr>
        <w:spacing w:line="360" w:lineRule="auto"/>
        <w:jc w:val="both"/>
        <w:rPr>
          <w:rFonts w:ascii="Times New Roman" w:eastAsia="Times New Roman" w:hAnsi="Times New Roman" w:cs="Times New Roman"/>
          <w:sz w:val="24"/>
          <w:szCs w:val="24"/>
        </w:rPr>
      </w:pPr>
      <w:r w:rsidRPr="00D269C7">
        <w:rPr>
          <w:rFonts w:ascii="Times New Roman" w:eastAsia="Times New Roman" w:hAnsi="Times New Roman" w:cs="Times New Roman"/>
          <w:sz w:val="24"/>
          <w:szCs w:val="24"/>
        </w:rPr>
        <w:t>Esta práctica se ha desplegado principalmente en las regiones del territorio nacional en las que existe una notoria presencia de alguno de los nueve pueblos originarios definidos por ley. Esto es: en el Norte Grande y Norte Chico, donde habitan indígenas aymara, colla, quechua y likan antay; y en La Araucanía, Bío Bío, Los Ríos y Los Lagos, en el sur, donde se encuentran principalmente los mapuche y sus diversas identidades territoriales.</w:t>
      </w:r>
    </w:p>
    <w:p w14:paraId="38BE07A0" w14:textId="77777777" w:rsidR="008D7FA6" w:rsidRPr="00D269C7" w:rsidRDefault="008D7FA6" w:rsidP="00A11B69">
      <w:pPr>
        <w:spacing w:line="360" w:lineRule="auto"/>
        <w:jc w:val="both"/>
        <w:rPr>
          <w:rFonts w:ascii="Times New Roman" w:eastAsia="Times New Roman" w:hAnsi="Times New Roman" w:cs="Times New Roman"/>
          <w:sz w:val="24"/>
          <w:szCs w:val="24"/>
        </w:rPr>
      </w:pPr>
    </w:p>
    <w:p w14:paraId="6D3761A9" w14:textId="77777777" w:rsidR="008D7FA6" w:rsidRPr="00D269C7" w:rsidRDefault="006757E4" w:rsidP="00A11B69">
      <w:pPr>
        <w:spacing w:line="360" w:lineRule="auto"/>
        <w:jc w:val="both"/>
        <w:rPr>
          <w:rFonts w:ascii="Times New Roman" w:eastAsia="Times New Roman" w:hAnsi="Times New Roman" w:cs="Times New Roman"/>
          <w:b/>
          <w:sz w:val="24"/>
          <w:szCs w:val="24"/>
        </w:rPr>
      </w:pPr>
      <w:r w:rsidRPr="00D269C7">
        <w:rPr>
          <w:rFonts w:ascii="Times New Roman" w:eastAsia="Times New Roman" w:hAnsi="Times New Roman" w:cs="Times New Roman"/>
          <w:b/>
          <w:sz w:val="24"/>
          <w:szCs w:val="24"/>
        </w:rPr>
        <w:t>3. Tratando problemas y creando oportunidades</w:t>
      </w:r>
    </w:p>
    <w:p w14:paraId="00AA76C0" w14:textId="77777777" w:rsidR="008D7FA6" w:rsidRPr="00D269C7" w:rsidRDefault="008D7FA6" w:rsidP="00A11B69">
      <w:pPr>
        <w:spacing w:line="360" w:lineRule="auto"/>
        <w:jc w:val="both"/>
        <w:rPr>
          <w:rFonts w:ascii="Times New Roman" w:eastAsia="Times New Roman" w:hAnsi="Times New Roman" w:cs="Times New Roman"/>
          <w:b/>
          <w:sz w:val="24"/>
          <w:szCs w:val="24"/>
        </w:rPr>
      </w:pPr>
    </w:p>
    <w:p w14:paraId="269A5C06" w14:textId="77777777" w:rsidR="008D7FA6" w:rsidRPr="00D269C7" w:rsidRDefault="006757E4" w:rsidP="00A11B69">
      <w:pPr>
        <w:spacing w:line="360" w:lineRule="auto"/>
        <w:jc w:val="both"/>
        <w:rPr>
          <w:rFonts w:ascii="Times New Roman" w:eastAsia="Times New Roman" w:hAnsi="Times New Roman" w:cs="Times New Roman"/>
          <w:sz w:val="24"/>
          <w:szCs w:val="24"/>
        </w:rPr>
      </w:pPr>
      <w:r w:rsidRPr="00D269C7">
        <w:rPr>
          <w:rFonts w:ascii="Times New Roman" w:eastAsia="Times New Roman" w:hAnsi="Times New Roman" w:cs="Times New Roman"/>
          <w:sz w:val="24"/>
          <w:szCs w:val="24"/>
        </w:rPr>
        <w:t xml:space="preserve">Nuestra entrada en la escena descrita tuvo lugar entre marzo del 2015 y marzo del 2017 y a través de ella pudimos explorar más a fondo el problema de la gestión pericial y focalizar los ámbitos de tratamiento a los que he aludido más arriba, de manera de levantar una propuesta atingente y factible en su realización. </w:t>
      </w:r>
    </w:p>
    <w:p w14:paraId="0AC91578" w14:textId="77777777" w:rsidR="00055931" w:rsidRDefault="00055931" w:rsidP="00A11B69">
      <w:pPr>
        <w:spacing w:line="360" w:lineRule="auto"/>
        <w:jc w:val="both"/>
        <w:rPr>
          <w:rFonts w:ascii="Times New Roman" w:eastAsia="Times New Roman" w:hAnsi="Times New Roman" w:cs="Times New Roman"/>
          <w:sz w:val="24"/>
          <w:szCs w:val="24"/>
        </w:rPr>
      </w:pPr>
      <w:r w:rsidRPr="00D269C7">
        <w:rPr>
          <w:rFonts w:ascii="Times New Roman" w:eastAsia="Times New Roman" w:hAnsi="Times New Roman" w:cs="Times New Roman"/>
          <w:sz w:val="24"/>
          <w:szCs w:val="24"/>
        </w:rPr>
        <w:lastRenderedPageBreak/>
        <w:t xml:space="preserve">En el nivel epistémico reconocimos más claramente las concepciones instituidas de PA, así como las ideas dominantes sobre su objeto, campo, métodos y propósitos. En este proceso fue crucial el análisis de la casuística de casos penales que han contado con PA. Detrás de cada causa penal con PA, se estructura un contexto de producción pericial que ha de ser tenido en cuenta en la comprensión del proceso pericial en el campo de la defensa especializada. La reconstrucción antropológica de este contexto nos enfrentó con las nociones espontáneas que sostienen los defensores acerca del PA, al momento de solicitarlo y posteriormente usarlo en el juicio oral. Lo mismo aplica respecto de los jueces y fiscales al momento de valorar y examinar las pruebas antropológicas en el juicio, o de sentenciar con o sin arreglo a éstas. </w:t>
      </w:r>
    </w:p>
    <w:p w14:paraId="5F495FEA" w14:textId="77777777" w:rsidR="00055931" w:rsidRPr="00D269C7" w:rsidRDefault="00055931" w:rsidP="00A11B69">
      <w:pPr>
        <w:spacing w:line="360" w:lineRule="auto"/>
        <w:jc w:val="both"/>
        <w:rPr>
          <w:rFonts w:ascii="Times New Roman" w:eastAsia="Times New Roman" w:hAnsi="Times New Roman" w:cs="Times New Roman"/>
          <w:sz w:val="24"/>
          <w:szCs w:val="24"/>
        </w:rPr>
      </w:pPr>
      <w:r w:rsidRPr="00D269C7">
        <w:rPr>
          <w:rFonts w:ascii="Times New Roman" w:eastAsia="Times New Roman" w:hAnsi="Times New Roman" w:cs="Times New Roman"/>
          <w:sz w:val="24"/>
          <w:szCs w:val="24"/>
        </w:rPr>
        <w:t xml:space="preserve">Por otro lado, el contexto de análisis integró el PA en tanto respuesta del antropólogo a una solicitud formal que muchas veces es inapropiada en sus términos, fundamentos y propósitos. </w:t>
      </w:r>
    </w:p>
    <w:p w14:paraId="1CF188DC" w14:textId="77777777" w:rsidR="00055931" w:rsidRPr="00D269C7" w:rsidRDefault="00055931" w:rsidP="00A11B69">
      <w:pPr>
        <w:spacing w:line="360" w:lineRule="auto"/>
        <w:jc w:val="both"/>
        <w:rPr>
          <w:rFonts w:ascii="Times New Roman" w:eastAsia="Times New Roman" w:hAnsi="Times New Roman" w:cs="Times New Roman"/>
          <w:sz w:val="24"/>
          <w:szCs w:val="24"/>
        </w:rPr>
      </w:pPr>
      <w:r w:rsidRPr="00D269C7">
        <w:rPr>
          <w:rFonts w:ascii="Times New Roman" w:eastAsia="Times New Roman" w:hAnsi="Times New Roman" w:cs="Times New Roman"/>
          <w:sz w:val="24"/>
          <w:szCs w:val="24"/>
        </w:rPr>
        <w:t>Otra fuente de análisis de la episteme que rige el marco conceptual presente entre los defensores y otros agentes jurídicos penales, son dispositivos como el Código Procesal Penal (CPP), el cual presenta un concepto de peritaje referido a una prueba concreta que es proporcionada por un experto sobre un objeto respecto del cual los litigantes no tienen conocimiento o dominio alguno. El CPP chileno fija las reglas del juego del peritaje en general -y por ende, del PA-, estableciendo las expectativas del rol de los expertos, cuyas fronteras se articulan en nombre de la sana crítica, las máximas de la experiencia y el conocimiento científico afianzado. De este modo, resulta imprescindible detenerse en identificar los supuestos epistemológicos que subyacen a la concepción de PA en la DPP, la cual se expresa en el Modelo de Defensa Penal Indígena (DPP, 2012) de la institución.</w:t>
      </w:r>
    </w:p>
    <w:p w14:paraId="791C30D7" w14:textId="77777777" w:rsidR="008D7FA6" w:rsidRPr="00D269C7" w:rsidRDefault="006757E4" w:rsidP="00A11B69">
      <w:pPr>
        <w:spacing w:line="360" w:lineRule="auto"/>
        <w:jc w:val="both"/>
        <w:rPr>
          <w:rFonts w:ascii="Times New Roman" w:eastAsia="Times New Roman" w:hAnsi="Times New Roman" w:cs="Times New Roman"/>
          <w:sz w:val="24"/>
          <w:szCs w:val="24"/>
        </w:rPr>
      </w:pPr>
      <w:r w:rsidRPr="00D269C7">
        <w:rPr>
          <w:rFonts w:ascii="Times New Roman" w:eastAsia="Times New Roman" w:hAnsi="Times New Roman" w:cs="Times New Roman"/>
          <w:sz w:val="24"/>
          <w:szCs w:val="24"/>
        </w:rPr>
        <w:t>En lo jurídico normativo, se realizó un análisis comparado de las condiciones jurídico-políticas del PA en Chile y América Latina. Como resultado quedó en evidencia el déficit de fundamentos jurídicos que justifican el uso del PA en Chile y la falta de actualización del marco vigente en la DPP respecto de este soporte. Asimismo, se estableció que los avances en materia de reconocimiento de los derechos a las diferencias socioculturales, expresadas en instrumentos jurídicos internacionales e internos, así como aquellos producidos en materia de derecho probatorio y defensa de oficio, representan importantes oportunidades para dotar al PA del andamiaje jurídico que requiere para un mejor desenvolvimiento. Esta faceta del análisis fue abordada en el equipo por un abogado y una antropóloga que procuraron establecer cruces entre la mirada de la antropología y el derecho.</w:t>
      </w:r>
    </w:p>
    <w:p w14:paraId="498AAEE7" w14:textId="77777777" w:rsidR="008D7FA6" w:rsidRPr="00D269C7" w:rsidRDefault="006757E4" w:rsidP="00A11B69">
      <w:pPr>
        <w:spacing w:line="360" w:lineRule="auto"/>
        <w:jc w:val="both"/>
        <w:rPr>
          <w:rFonts w:ascii="Times New Roman" w:eastAsia="Times New Roman" w:hAnsi="Times New Roman" w:cs="Times New Roman"/>
          <w:sz w:val="24"/>
          <w:szCs w:val="24"/>
        </w:rPr>
      </w:pPr>
      <w:r w:rsidRPr="00D269C7">
        <w:rPr>
          <w:rFonts w:ascii="Times New Roman" w:eastAsia="Times New Roman" w:hAnsi="Times New Roman" w:cs="Times New Roman"/>
          <w:sz w:val="24"/>
          <w:szCs w:val="24"/>
        </w:rPr>
        <w:t>El análisis de estas fuentes, además de las que conforman las perspectivas de los defensores y de los peritos, nos condujo ante un panorama en el cual el PA es concebido y empleado en función de las siguientes propiedades:</w:t>
      </w:r>
    </w:p>
    <w:p w14:paraId="6864A510" w14:textId="77777777" w:rsidR="008D7FA6" w:rsidRPr="00D269C7" w:rsidRDefault="006757E4" w:rsidP="00A11B69">
      <w:pPr>
        <w:spacing w:line="360" w:lineRule="auto"/>
        <w:jc w:val="both"/>
        <w:rPr>
          <w:rFonts w:ascii="Times New Roman" w:eastAsia="Times New Roman" w:hAnsi="Times New Roman" w:cs="Times New Roman"/>
          <w:sz w:val="24"/>
          <w:szCs w:val="24"/>
        </w:rPr>
      </w:pPr>
      <w:r w:rsidRPr="00D269C7">
        <w:rPr>
          <w:rFonts w:ascii="Times New Roman" w:eastAsia="Times New Roman" w:hAnsi="Times New Roman" w:cs="Times New Roman"/>
          <w:sz w:val="24"/>
          <w:szCs w:val="24"/>
        </w:rPr>
        <w:lastRenderedPageBreak/>
        <w:t xml:space="preserve">1) como una herramienta de prueba que presenta un estatus científico cuestionable frente a los principios del positivismo, </w:t>
      </w:r>
    </w:p>
    <w:p w14:paraId="781D4C26" w14:textId="77777777" w:rsidR="008D7FA6" w:rsidRPr="00D269C7" w:rsidRDefault="006757E4" w:rsidP="00A11B69">
      <w:pPr>
        <w:spacing w:line="360" w:lineRule="auto"/>
        <w:jc w:val="both"/>
        <w:rPr>
          <w:rFonts w:ascii="Times New Roman" w:eastAsia="Times New Roman" w:hAnsi="Times New Roman" w:cs="Times New Roman"/>
          <w:sz w:val="24"/>
          <w:szCs w:val="24"/>
        </w:rPr>
      </w:pPr>
      <w:r w:rsidRPr="00D269C7">
        <w:rPr>
          <w:rFonts w:ascii="Times New Roman" w:eastAsia="Times New Roman" w:hAnsi="Times New Roman" w:cs="Times New Roman"/>
          <w:sz w:val="24"/>
          <w:szCs w:val="24"/>
        </w:rPr>
        <w:t>2) que se enfoca casi exclusivamente en casos penales que involucran a personas imputadas indígenas, y</w:t>
      </w:r>
    </w:p>
    <w:p w14:paraId="16FF38E1" w14:textId="77777777" w:rsidR="008D7FA6" w:rsidRPr="00D269C7" w:rsidRDefault="006757E4" w:rsidP="00A11B69">
      <w:pPr>
        <w:spacing w:line="360" w:lineRule="auto"/>
        <w:jc w:val="both"/>
        <w:rPr>
          <w:rFonts w:ascii="Times New Roman" w:eastAsia="Times New Roman" w:hAnsi="Times New Roman" w:cs="Times New Roman"/>
          <w:sz w:val="24"/>
          <w:szCs w:val="24"/>
        </w:rPr>
      </w:pPr>
      <w:r w:rsidRPr="00D269C7">
        <w:rPr>
          <w:rFonts w:ascii="Times New Roman" w:eastAsia="Times New Roman" w:hAnsi="Times New Roman" w:cs="Times New Roman"/>
          <w:sz w:val="24"/>
          <w:szCs w:val="24"/>
        </w:rPr>
        <w:t>3) que se solicita y/o presenta en juicios para establecer la relación entre actos ilícitos y “costumbres ancestrales”.</w:t>
      </w:r>
    </w:p>
    <w:p w14:paraId="5835D8F1" w14:textId="77777777" w:rsidR="00216292" w:rsidRPr="00D269C7" w:rsidRDefault="00216292" w:rsidP="00A11B69">
      <w:pPr>
        <w:spacing w:line="360" w:lineRule="auto"/>
        <w:jc w:val="both"/>
        <w:rPr>
          <w:rFonts w:ascii="Times New Roman" w:eastAsia="Times New Roman" w:hAnsi="Times New Roman" w:cs="Times New Roman"/>
          <w:sz w:val="24"/>
          <w:szCs w:val="24"/>
        </w:rPr>
      </w:pPr>
    </w:p>
    <w:p w14:paraId="24D08126" w14:textId="77777777" w:rsidR="008D7FA6" w:rsidRPr="00D269C7" w:rsidRDefault="006757E4" w:rsidP="00A11B69">
      <w:pPr>
        <w:spacing w:line="360" w:lineRule="auto"/>
        <w:jc w:val="both"/>
        <w:rPr>
          <w:rFonts w:ascii="Times New Roman" w:eastAsia="Times New Roman" w:hAnsi="Times New Roman" w:cs="Times New Roman"/>
          <w:sz w:val="24"/>
          <w:szCs w:val="24"/>
        </w:rPr>
      </w:pPr>
      <w:r w:rsidRPr="00D269C7">
        <w:rPr>
          <w:rFonts w:ascii="Times New Roman" w:eastAsia="Times New Roman" w:hAnsi="Times New Roman" w:cs="Times New Roman"/>
          <w:sz w:val="24"/>
          <w:szCs w:val="24"/>
        </w:rPr>
        <w:t xml:space="preserve">Estas propiedades son parte de una praxis </w:t>
      </w:r>
      <w:r w:rsidR="00216292" w:rsidRPr="00D269C7">
        <w:rPr>
          <w:rFonts w:ascii="Times New Roman" w:eastAsia="Times New Roman" w:hAnsi="Times New Roman" w:cs="Times New Roman"/>
          <w:sz w:val="24"/>
          <w:szCs w:val="24"/>
        </w:rPr>
        <w:t xml:space="preserve">institucional </w:t>
      </w:r>
      <w:r w:rsidRPr="00D269C7">
        <w:rPr>
          <w:rFonts w:ascii="Times New Roman" w:eastAsia="Times New Roman" w:hAnsi="Times New Roman" w:cs="Times New Roman"/>
          <w:sz w:val="24"/>
          <w:szCs w:val="24"/>
        </w:rPr>
        <w:t>que aminora las potencialidades teórico-prácticas del PA en su dimensión epistémica, las cuales invitan</w:t>
      </w:r>
      <w:r w:rsidR="00216292" w:rsidRPr="00D269C7">
        <w:rPr>
          <w:rFonts w:ascii="Times New Roman" w:eastAsia="Times New Roman" w:hAnsi="Times New Roman" w:cs="Times New Roman"/>
          <w:sz w:val="24"/>
          <w:szCs w:val="24"/>
        </w:rPr>
        <w:t>, por lo tanto,</w:t>
      </w:r>
      <w:r w:rsidRPr="00D269C7">
        <w:rPr>
          <w:rFonts w:ascii="Times New Roman" w:eastAsia="Times New Roman" w:hAnsi="Times New Roman" w:cs="Times New Roman"/>
          <w:sz w:val="24"/>
          <w:szCs w:val="24"/>
        </w:rPr>
        <w:t xml:space="preserve"> a la reconceptualización de su objeto, campo, métodos y propósitos para los cuales puede diseñarse.</w:t>
      </w:r>
    </w:p>
    <w:p w14:paraId="6DF76259" w14:textId="77777777" w:rsidR="008D7FA6" w:rsidRPr="00D269C7" w:rsidRDefault="006757E4" w:rsidP="00A11B69">
      <w:pPr>
        <w:spacing w:line="360" w:lineRule="auto"/>
        <w:jc w:val="both"/>
        <w:rPr>
          <w:rFonts w:ascii="Times New Roman" w:eastAsia="Times New Roman" w:hAnsi="Times New Roman" w:cs="Times New Roman"/>
          <w:sz w:val="24"/>
          <w:szCs w:val="24"/>
        </w:rPr>
      </w:pPr>
      <w:r w:rsidRPr="00D269C7">
        <w:rPr>
          <w:rFonts w:ascii="Times New Roman" w:eastAsia="Times New Roman" w:hAnsi="Times New Roman" w:cs="Times New Roman"/>
          <w:sz w:val="24"/>
          <w:szCs w:val="24"/>
        </w:rPr>
        <w:t xml:space="preserve">Por otro lado, la realización de PA por parte de algunos miembros del equipo, nos llevó a advertir distintos elementos metodológicos y procedimentales que afectan el proceso de gestión de PA. Uno de los problemas que presenta el proceso pericial corresponde al de la admisibilidad y empleabilidad de los PA, dos criterios que regulan la producción y valoración pericial en el campo jurídico (Taruffo, 2008; Ferrer, 2007). El análisis crítico de los casos con PA realizados en el contexto de la DPP La Araucanía, desafía a incorporar criterios especiales de admisibilidad, tales como la necesidad, la idoneidad, la confiabilidad y la imparcialidad. La necesidad concierne al hecho que el PA provee un conocimiento especializado acerca de los fenómenos socioculturales comprometidos en distinto grado y forma en un proceso penal, a la vez que a la necesidad normativa, determinada por ejemplo por los tratados internacionales reconocidos por el Estado. La idoneidad remite a la aptitud, la competencia y la calificación científica, profesional, técnica, artística o experimental del perito; mientras que la confiabilidad define el valor del PA como prueba pericial especializada, a partir de exigencias epistemológicas y teórico-metodológicas adecuadas. La imparcialidad, en tanto, remite al ajuste del conocimiento resultante de un proceso pericial con los marcos y exigencias de cientificidad de la disciplina en la que se fundamenta el peritaje. En teoría, se espera que el perito se conduzca de acuerdo con los principios epistemológicos y éticos aceptados en la comunidad de pares de pertenencia. Entre los antropólogos tenemos que preguntarnos si conformamos realmente una comunidad de pares, si nos reconocemos los unos con los otros como pares y si estamos dispuestos a relacionarnos bajo los principios de la paridad. Desde luego, esto supone contar ya con tales principios, de manera que las cuestiones de admisibilidad impusieron un desafío que elaboramos en un nivel metodológico. </w:t>
      </w:r>
    </w:p>
    <w:p w14:paraId="4684DE7A" w14:textId="77777777" w:rsidR="008D7FA6" w:rsidRPr="00D269C7" w:rsidRDefault="006757E4" w:rsidP="00A11B69">
      <w:pPr>
        <w:spacing w:line="360" w:lineRule="auto"/>
        <w:jc w:val="both"/>
        <w:rPr>
          <w:rFonts w:ascii="Times New Roman" w:eastAsia="Times New Roman" w:hAnsi="Times New Roman" w:cs="Times New Roman"/>
          <w:sz w:val="24"/>
          <w:szCs w:val="24"/>
        </w:rPr>
      </w:pPr>
      <w:r w:rsidRPr="00D269C7">
        <w:rPr>
          <w:rFonts w:ascii="Times New Roman" w:eastAsia="Times New Roman" w:hAnsi="Times New Roman" w:cs="Times New Roman"/>
          <w:sz w:val="24"/>
          <w:szCs w:val="24"/>
        </w:rPr>
        <w:lastRenderedPageBreak/>
        <w:t>Estos problemas son de raíz, pues se inician con la formulación de solicitudes periciales por parte de los defensores. No necesariamente la solicitud de éstos es efectuada conociendo la ciencia, arte u oficio de un tercero experto. Hasta el momento de nuestra entrada en escena la solicitud de PA se organizaba a partir a una serie de imágenes estereotipadas acerca de la alteridad que sirven de figuras significativas al agente requirente. De este modo, encontramos solicitudes  inespecíficas, inadecuadas, impertinentes, ambi y polivalentes o injustificadas en cuanto al contenido del objeto pericial.</w:t>
      </w:r>
    </w:p>
    <w:p w14:paraId="7257C8C2" w14:textId="77777777" w:rsidR="008D7FA6" w:rsidRPr="00D269C7" w:rsidRDefault="006757E4" w:rsidP="00A11B69">
      <w:pPr>
        <w:spacing w:line="360" w:lineRule="auto"/>
        <w:jc w:val="both"/>
        <w:rPr>
          <w:rFonts w:ascii="Times New Roman" w:eastAsia="Times New Roman" w:hAnsi="Times New Roman" w:cs="Times New Roman"/>
          <w:sz w:val="24"/>
          <w:szCs w:val="24"/>
        </w:rPr>
      </w:pPr>
      <w:r w:rsidRPr="00D269C7">
        <w:rPr>
          <w:rFonts w:ascii="Times New Roman" w:eastAsia="Times New Roman" w:hAnsi="Times New Roman" w:cs="Times New Roman"/>
          <w:sz w:val="24"/>
          <w:szCs w:val="24"/>
        </w:rPr>
        <w:t>Durante el periodo que el perito realiza la investigación y escribe el informe pericial, éste trabaja solo. En nuestra experiencia como peritos, cuando no hay mucha claridad sobre los fundamentos o los términos de la solicitud, es preciso solicitar información adicional para esclarecer el objeto y la expectativa del requirente. De no mediar vínculos entre ambos, el perito corre el riesgo de verse atrapado en un callejón sin salida o en una maraña de posibilidades, cuyas consecuencias serán perceptibles en el orden de la calidad de su producto. Cabe señalar que el diálogo o la interacción entre el perito y el defensor durante el proceso de investigación y elaboración del informe pericial puede interpretarse eventualmente como una conducta improcedente por parte de los agentes jurídicos, pues tiende a tensionar el principio de imparcialidad. Esta actitud es propia de las concepciones positivistas de la ciencia clásica, que obran en detrimento de una ciencia crítica que asume la imposibilidad de sostener aquel principio, o que al menos asume la necesidad de relativizarlo. Según Sánchez Botero (2010) “las nuevas perspectivas de la antropología […] han ayudado a reinterpretar el peritaje antropológico como contenido “verdadero”, “objetivo” y “neutral”. Es imposible desconocer contradicciones, limitaciones, mediaciones, intereses, nexos sociales y políticos que intervienen y configuran un conjunto argumental”</w:t>
      </w:r>
      <w:r w:rsidR="00216292" w:rsidRPr="00D269C7">
        <w:rPr>
          <w:rFonts w:ascii="Times New Roman" w:eastAsia="Times New Roman" w:hAnsi="Times New Roman" w:cs="Times New Roman"/>
          <w:sz w:val="24"/>
          <w:szCs w:val="24"/>
        </w:rPr>
        <w:t xml:space="preserve"> [325]</w:t>
      </w:r>
      <w:r w:rsidRPr="00D269C7">
        <w:rPr>
          <w:rFonts w:ascii="Times New Roman" w:eastAsia="Times New Roman" w:hAnsi="Times New Roman" w:cs="Times New Roman"/>
          <w:sz w:val="24"/>
          <w:szCs w:val="24"/>
        </w:rPr>
        <w:t xml:space="preserve">. </w:t>
      </w:r>
    </w:p>
    <w:p w14:paraId="2CBD9D89" w14:textId="77777777" w:rsidR="008D7FA6" w:rsidRPr="00D269C7" w:rsidRDefault="006757E4" w:rsidP="00A11B69">
      <w:pPr>
        <w:spacing w:line="360" w:lineRule="auto"/>
        <w:jc w:val="both"/>
        <w:rPr>
          <w:rFonts w:ascii="Times New Roman" w:eastAsia="Times New Roman" w:hAnsi="Times New Roman" w:cs="Times New Roman"/>
          <w:sz w:val="24"/>
          <w:szCs w:val="24"/>
        </w:rPr>
      </w:pPr>
      <w:r w:rsidRPr="00D269C7">
        <w:rPr>
          <w:rFonts w:ascii="Times New Roman" w:eastAsia="Times New Roman" w:hAnsi="Times New Roman" w:cs="Times New Roman"/>
          <w:sz w:val="24"/>
          <w:szCs w:val="24"/>
        </w:rPr>
        <w:t>En nuestro equipo compartimos la sensación de que los defensores desconocen los modos de proceder antropológicos, así como la naturaleza de los conocimientos que podemos construir de cara a los procesos jurídicos. Asimismo, sabemos que escasamente destinan tiempo a conversar con los especialistas de otras áreas de conocimiento y que la ansiedad con que nos solicitan los informes recorta los tiempos para la investigación pericial y reduce el umbral de calidad probatoria y validez de los informes.</w:t>
      </w:r>
    </w:p>
    <w:p w14:paraId="01514958" w14:textId="77777777" w:rsidR="008D7FA6" w:rsidRPr="00D269C7" w:rsidRDefault="006757E4" w:rsidP="00A11B69">
      <w:pPr>
        <w:spacing w:line="360" w:lineRule="auto"/>
        <w:jc w:val="both"/>
        <w:rPr>
          <w:rFonts w:ascii="Times New Roman" w:eastAsia="Times New Roman" w:hAnsi="Times New Roman" w:cs="Times New Roman"/>
          <w:sz w:val="24"/>
          <w:szCs w:val="24"/>
        </w:rPr>
      </w:pPr>
      <w:r w:rsidRPr="00D269C7">
        <w:rPr>
          <w:rFonts w:ascii="Times New Roman" w:eastAsia="Times New Roman" w:hAnsi="Times New Roman" w:cs="Times New Roman"/>
          <w:sz w:val="24"/>
          <w:szCs w:val="24"/>
        </w:rPr>
        <w:t xml:space="preserve"> </w:t>
      </w:r>
    </w:p>
    <w:p w14:paraId="26776DC4" w14:textId="77777777" w:rsidR="008D7FA6" w:rsidRPr="00D269C7" w:rsidRDefault="00216292" w:rsidP="00A11B69">
      <w:pPr>
        <w:spacing w:line="360" w:lineRule="auto"/>
        <w:jc w:val="both"/>
        <w:rPr>
          <w:rFonts w:ascii="Times New Roman" w:eastAsia="Times New Roman" w:hAnsi="Times New Roman" w:cs="Times New Roman"/>
          <w:b/>
          <w:sz w:val="24"/>
          <w:szCs w:val="24"/>
        </w:rPr>
      </w:pPr>
      <w:r w:rsidRPr="00D269C7">
        <w:rPr>
          <w:rFonts w:ascii="Times New Roman" w:eastAsia="Times New Roman" w:hAnsi="Times New Roman" w:cs="Times New Roman"/>
          <w:b/>
          <w:sz w:val="24"/>
          <w:szCs w:val="24"/>
        </w:rPr>
        <w:t>4.</w:t>
      </w:r>
      <w:r w:rsidR="006757E4" w:rsidRPr="00D269C7">
        <w:rPr>
          <w:rFonts w:ascii="Times New Roman" w:eastAsia="Times New Roman" w:hAnsi="Times New Roman" w:cs="Times New Roman"/>
          <w:b/>
          <w:sz w:val="24"/>
          <w:szCs w:val="24"/>
        </w:rPr>
        <w:t xml:space="preserve"> Solución propuesta</w:t>
      </w:r>
    </w:p>
    <w:p w14:paraId="4EBAC5E8" w14:textId="77777777" w:rsidR="008D7FA6" w:rsidRPr="00D269C7" w:rsidRDefault="008D7FA6" w:rsidP="00A11B69">
      <w:pPr>
        <w:spacing w:line="360" w:lineRule="auto"/>
        <w:jc w:val="both"/>
        <w:rPr>
          <w:rFonts w:ascii="Times New Roman" w:eastAsia="Times New Roman" w:hAnsi="Times New Roman" w:cs="Times New Roman"/>
          <w:sz w:val="24"/>
          <w:szCs w:val="24"/>
        </w:rPr>
      </w:pPr>
    </w:p>
    <w:p w14:paraId="6E47221E" w14:textId="77777777" w:rsidR="008D7FA6" w:rsidRPr="00D269C7" w:rsidRDefault="006757E4" w:rsidP="00A11B69">
      <w:pPr>
        <w:spacing w:line="360" w:lineRule="auto"/>
        <w:jc w:val="both"/>
        <w:rPr>
          <w:rFonts w:ascii="Times New Roman" w:eastAsia="Times New Roman" w:hAnsi="Times New Roman" w:cs="Times New Roman"/>
          <w:sz w:val="24"/>
          <w:szCs w:val="24"/>
        </w:rPr>
      </w:pPr>
      <w:r w:rsidRPr="00D269C7">
        <w:rPr>
          <w:rFonts w:ascii="Times New Roman" w:eastAsia="Times New Roman" w:hAnsi="Times New Roman" w:cs="Times New Roman"/>
          <w:sz w:val="24"/>
          <w:szCs w:val="24"/>
        </w:rPr>
        <w:t xml:space="preserve">Nuestra propuesta se orientó a generar un bien público basado en la antropología aplicada interactiva desarrollada en la Universidad Católica de Temuco por la antropóloga (QEPD) </w:t>
      </w:r>
      <w:r w:rsidRPr="00D269C7">
        <w:rPr>
          <w:rFonts w:ascii="Times New Roman" w:eastAsia="Times New Roman" w:hAnsi="Times New Roman" w:cs="Times New Roman"/>
          <w:sz w:val="24"/>
          <w:szCs w:val="24"/>
        </w:rPr>
        <w:lastRenderedPageBreak/>
        <w:t xml:space="preserve">Teresa Durán. Dicha antropología aplicada representa un enfoque de trabajo definido a partir del análisis de las prácticas antropológicas </w:t>
      </w:r>
      <w:r w:rsidR="00216292" w:rsidRPr="00D269C7">
        <w:rPr>
          <w:rFonts w:ascii="Times New Roman" w:eastAsia="Times New Roman" w:hAnsi="Times New Roman" w:cs="Times New Roman"/>
          <w:sz w:val="24"/>
          <w:szCs w:val="24"/>
        </w:rPr>
        <w:t xml:space="preserve">dentro y fuera del contexto </w:t>
      </w:r>
      <w:r w:rsidRPr="00D269C7">
        <w:rPr>
          <w:rFonts w:ascii="Times New Roman" w:eastAsia="Times New Roman" w:hAnsi="Times New Roman" w:cs="Times New Roman"/>
          <w:sz w:val="24"/>
          <w:szCs w:val="24"/>
        </w:rPr>
        <w:t>académico (Durán, 2002; Durán</w:t>
      </w:r>
      <w:r w:rsidR="00216292" w:rsidRPr="00D269C7">
        <w:rPr>
          <w:rFonts w:ascii="Times New Roman" w:eastAsia="Times New Roman" w:hAnsi="Times New Roman" w:cs="Times New Roman"/>
          <w:sz w:val="24"/>
          <w:szCs w:val="24"/>
        </w:rPr>
        <w:t>, Berho, Carrasco &amp; Mora</w:t>
      </w:r>
      <w:r w:rsidRPr="00D269C7">
        <w:rPr>
          <w:rFonts w:ascii="Times New Roman" w:eastAsia="Times New Roman" w:hAnsi="Times New Roman" w:cs="Times New Roman"/>
          <w:sz w:val="24"/>
          <w:szCs w:val="24"/>
        </w:rPr>
        <w:t xml:space="preserve">, 2014). Se caracteriza por </w:t>
      </w:r>
      <w:r w:rsidR="00216292" w:rsidRPr="00D269C7">
        <w:rPr>
          <w:rFonts w:ascii="Times New Roman" w:eastAsia="Times New Roman" w:hAnsi="Times New Roman" w:cs="Times New Roman"/>
          <w:sz w:val="24"/>
          <w:szCs w:val="24"/>
        </w:rPr>
        <w:t>intencionar</w:t>
      </w:r>
      <w:r w:rsidRPr="00D269C7">
        <w:rPr>
          <w:rFonts w:ascii="Times New Roman" w:eastAsia="Times New Roman" w:hAnsi="Times New Roman" w:cs="Times New Roman"/>
          <w:sz w:val="24"/>
          <w:szCs w:val="24"/>
        </w:rPr>
        <w:t xml:space="preserve"> planes de acción elaborados más o menos conjuntamente entre el antropólogo y sus interlocutores, favorecer una práctica interdisciplinaria e inter-institucional, que vaya más allá de lo administrativo, y se fundamente en el conocimiento emergente a través de la participación intencionada del antropólogo en los espacios de interacción con actores e instituciones. </w:t>
      </w:r>
    </w:p>
    <w:p w14:paraId="39F4D056" w14:textId="77777777" w:rsidR="008D7FA6" w:rsidRPr="00D269C7" w:rsidRDefault="006757E4" w:rsidP="00A11B69">
      <w:pPr>
        <w:spacing w:line="360" w:lineRule="auto"/>
        <w:jc w:val="both"/>
        <w:rPr>
          <w:rFonts w:ascii="Times New Roman" w:eastAsia="Times New Roman" w:hAnsi="Times New Roman" w:cs="Times New Roman"/>
          <w:sz w:val="24"/>
          <w:szCs w:val="24"/>
        </w:rPr>
      </w:pPr>
      <w:r w:rsidRPr="00D269C7">
        <w:rPr>
          <w:rFonts w:ascii="Times New Roman" w:eastAsia="Times New Roman" w:hAnsi="Times New Roman" w:cs="Times New Roman"/>
          <w:sz w:val="24"/>
          <w:szCs w:val="24"/>
        </w:rPr>
        <w:t xml:space="preserve">Hablamos de un bien público por cuanto el resultado concreto de la investigación aplicada se diseñó atendiendo al contexto institucional en el que sería utilizado. Denominamos como MoGPA -modelo de gestión de peritaje antropológico- a este bien público. Expresado de manera esquemática, este MoGPA fue el resultado de un proceso de investigación - acción que combinó distintas aproximaciones: </w:t>
      </w:r>
    </w:p>
    <w:p w14:paraId="7FE93B65" w14:textId="77777777" w:rsidR="00216292" w:rsidRPr="00D269C7" w:rsidRDefault="00216292" w:rsidP="00A11B69">
      <w:pPr>
        <w:spacing w:line="360" w:lineRule="auto"/>
        <w:jc w:val="both"/>
        <w:rPr>
          <w:rFonts w:ascii="Times New Roman" w:eastAsia="Times New Roman" w:hAnsi="Times New Roman" w:cs="Times New Roman"/>
          <w:sz w:val="24"/>
          <w:szCs w:val="24"/>
        </w:rPr>
      </w:pPr>
    </w:p>
    <w:p w14:paraId="31988ED3" w14:textId="77777777" w:rsidR="008D7FA6" w:rsidRPr="00D269C7" w:rsidRDefault="006757E4" w:rsidP="00A11B69">
      <w:pPr>
        <w:numPr>
          <w:ilvl w:val="0"/>
          <w:numId w:val="1"/>
        </w:numPr>
        <w:spacing w:line="360" w:lineRule="auto"/>
        <w:contextualSpacing/>
        <w:jc w:val="both"/>
        <w:rPr>
          <w:rFonts w:ascii="Times New Roman" w:eastAsia="Times New Roman" w:hAnsi="Times New Roman" w:cs="Times New Roman"/>
          <w:sz w:val="24"/>
          <w:szCs w:val="24"/>
        </w:rPr>
      </w:pPr>
      <w:r w:rsidRPr="00D269C7">
        <w:rPr>
          <w:rFonts w:ascii="Times New Roman" w:eastAsia="Times New Roman" w:hAnsi="Times New Roman" w:cs="Times New Roman"/>
          <w:sz w:val="24"/>
          <w:szCs w:val="24"/>
        </w:rPr>
        <w:t xml:space="preserve">investigación bibliográfica enfocada en levantar el estado del arte acerca del peritaje antropológico en Chile y América latina. </w:t>
      </w:r>
    </w:p>
    <w:p w14:paraId="44ABF551" w14:textId="77777777" w:rsidR="008D7FA6" w:rsidRPr="00D269C7" w:rsidRDefault="006757E4" w:rsidP="00A11B69">
      <w:pPr>
        <w:numPr>
          <w:ilvl w:val="0"/>
          <w:numId w:val="1"/>
        </w:numPr>
        <w:spacing w:line="360" w:lineRule="auto"/>
        <w:contextualSpacing/>
        <w:jc w:val="both"/>
        <w:rPr>
          <w:rFonts w:ascii="Times New Roman" w:eastAsia="Times New Roman" w:hAnsi="Times New Roman" w:cs="Times New Roman"/>
          <w:sz w:val="24"/>
          <w:szCs w:val="24"/>
        </w:rPr>
      </w:pPr>
      <w:r w:rsidRPr="00D269C7">
        <w:rPr>
          <w:rFonts w:ascii="Times New Roman" w:eastAsia="Times New Roman" w:hAnsi="Times New Roman" w:cs="Times New Roman"/>
          <w:sz w:val="24"/>
          <w:szCs w:val="24"/>
        </w:rPr>
        <w:t xml:space="preserve">Estudio de los marcos institucionales y normativos vigentes en cuanto al peritaje en Chile. </w:t>
      </w:r>
    </w:p>
    <w:p w14:paraId="13EEF4E7" w14:textId="77777777" w:rsidR="008D7FA6" w:rsidRPr="00D269C7" w:rsidRDefault="006757E4" w:rsidP="00A11B69">
      <w:pPr>
        <w:numPr>
          <w:ilvl w:val="0"/>
          <w:numId w:val="1"/>
        </w:numPr>
        <w:spacing w:line="360" w:lineRule="auto"/>
        <w:contextualSpacing/>
        <w:jc w:val="both"/>
        <w:rPr>
          <w:rFonts w:ascii="Times New Roman" w:eastAsia="Times New Roman" w:hAnsi="Times New Roman" w:cs="Times New Roman"/>
          <w:sz w:val="24"/>
          <w:szCs w:val="24"/>
        </w:rPr>
      </w:pPr>
      <w:r w:rsidRPr="00D269C7">
        <w:rPr>
          <w:rFonts w:ascii="Times New Roman" w:eastAsia="Times New Roman" w:hAnsi="Times New Roman" w:cs="Times New Roman"/>
          <w:sz w:val="24"/>
          <w:szCs w:val="24"/>
        </w:rPr>
        <w:t>Estudio cuali-cuantitativo de la casuística penal que contó con PA en el contexto de la DPP de la Araucanía  entre 2003 y 2014.</w:t>
      </w:r>
    </w:p>
    <w:p w14:paraId="5135F88A" w14:textId="77777777" w:rsidR="008D7FA6" w:rsidRPr="00D269C7" w:rsidRDefault="006757E4" w:rsidP="00A11B69">
      <w:pPr>
        <w:numPr>
          <w:ilvl w:val="0"/>
          <w:numId w:val="1"/>
        </w:numPr>
        <w:spacing w:line="360" w:lineRule="auto"/>
        <w:contextualSpacing/>
        <w:jc w:val="both"/>
        <w:rPr>
          <w:rFonts w:ascii="Times New Roman" w:eastAsia="Times New Roman" w:hAnsi="Times New Roman" w:cs="Times New Roman"/>
          <w:sz w:val="24"/>
          <w:szCs w:val="24"/>
        </w:rPr>
      </w:pPr>
      <w:r w:rsidRPr="00D269C7">
        <w:rPr>
          <w:rFonts w:ascii="Times New Roman" w:eastAsia="Times New Roman" w:hAnsi="Times New Roman" w:cs="Times New Roman"/>
          <w:sz w:val="24"/>
          <w:szCs w:val="24"/>
        </w:rPr>
        <w:t xml:space="preserve">Aproximación a las perspectivas de los actores mediante entrevistas individuales, talleres con defensores penales, facilitadores interculturales, autoridades, peritos antropólogos,  dirigentes mapuche, jueces y ministros de corte </w:t>
      </w:r>
    </w:p>
    <w:p w14:paraId="1E8CAFEF" w14:textId="77777777" w:rsidR="008D7FA6" w:rsidRPr="00D269C7" w:rsidRDefault="006757E4" w:rsidP="00A11B69">
      <w:pPr>
        <w:numPr>
          <w:ilvl w:val="0"/>
          <w:numId w:val="1"/>
        </w:numPr>
        <w:spacing w:line="360" w:lineRule="auto"/>
        <w:contextualSpacing/>
        <w:jc w:val="both"/>
        <w:rPr>
          <w:rFonts w:ascii="Times New Roman" w:eastAsia="Times New Roman" w:hAnsi="Times New Roman" w:cs="Times New Roman"/>
          <w:sz w:val="24"/>
          <w:szCs w:val="24"/>
        </w:rPr>
      </w:pPr>
      <w:r w:rsidRPr="00D269C7">
        <w:rPr>
          <w:rFonts w:ascii="Times New Roman" w:eastAsia="Times New Roman" w:hAnsi="Times New Roman" w:cs="Times New Roman"/>
          <w:sz w:val="24"/>
          <w:szCs w:val="24"/>
        </w:rPr>
        <w:t>Observación participante como peritos en casos penales concretos. 16 casos, 5 de los cuales fueron realizados atendiendo al MoGPA.</w:t>
      </w:r>
    </w:p>
    <w:p w14:paraId="16462996" w14:textId="77777777" w:rsidR="008D7FA6" w:rsidRPr="00D269C7" w:rsidRDefault="006757E4" w:rsidP="00A11B69">
      <w:pPr>
        <w:numPr>
          <w:ilvl w:val="0"/>
          <w:numId w:val="1"/>
        </w:numPr>
        <w:spacing w:line="360" w:lineRule="auto"/>
        <w:contextualSpacing/>
        <w:jc w:val="both"/>
        <w:rPr>
          <w:rFonts w:ascii="Times New Roman" w:eastAsia="Times New Roman" w:hAnsi="Times New Roman" w:cs="Times New Roman"/>
          <w:sz w:val="24"/>
          <w:szCs w:val="24"/>
        </w:rPr>
      </w:pPr>
      <w:r w:rsidRPr="00D269C7">
        <w:rPr>
          <w:rFonts w:ascii="Times New Roman" w:eastAsia="Times New Roman" w:hAnsi="Times New Roman" w:cs="Times New Roman"/>
          <w:sz w:val="24"/>
          <w:szCs w:val="24"/>
        </w:rPr>
        <w:t xml:space="preserve">Observación participante en Tribunales. </w:t>
      </w:r>
    </w:p>
    <w:p w14:paraId="1CB61717" w14:textId="77777777" w:rsidR="008D7FA6" w:rsidRPr="00D269C7" w:rsidRDefault="006757E4" w:rsidP="00A11B69">
      <w:pPr>
        <w:numPr>
          <w:ilvl w:val="0"/>
          <w:numId w:val="1"/>
        </w:numPr>
        <w:spacing w:line="360" w:lineRule="auto"/>
        <w:contextualSpacing/>
        <w:jc w:val="both"/>
        <w:rPr>
          <w:rFonts w:ascii="Times New Roman" w:eastAsia="Times New Roman" w:hAnsi="Times New Roman" w:cs="Times New Roman"/>
          <w:sz w:val="24"/>
          <w:szCs w:val="24"/>
        </w:rPr>
      </w:pPr>
      <w:r w:rsidRPr="00D269C7">
        <w:rPr>
          <w:rFonts w:ascii="Times New Roman" w:eastAsia="Times New Roman" w:hAnsi="Times New Roman" w:cs="Times New Roman"/>
          <w:sz w:val="24"/>
          <w:szCs w:val="24"/>
        </w:rPr>
        <w:t xml:space="preserve">Participación en y co-organización de eventos académicos en los que se socializaron los avances de la investigación con la DPP y otros actores relevantes del contexto jurídico. </w:t>
      </w:r>
    </w:p>
    <w:p w14:paraId="10A09EA8" w14:textId="77777777" w:rsidR="008D7FA6" w:rsidRPr="00D269C7" w:rsidRDefault="006757E4" w:rsidP="00A11B69">
      <w:pPr>
        <w:numPr>
          <w:ilvl w:val="0"/>
          <w:numId w:val="1"/>
        </w:numPr>
        <w:spacing w:line="360" w:lineRule="auto"/>
        <w:contextualSpacing/>
        <w:jc w:val="both"/>
        <w:rPr>
          <w:rFonts w:ascii="Times New Roman" w:eastAsia="Times New Roman" w:hAnsi="Times New Roman" w:cs="Times New Roman"/>
          <w:sz w:val="24"/>
          <w:szCs w:val="24"/>
        </w:rPr>
      </w:pPr>
      <w:r w:rsidRPr="00D269C7">
        <w:rPr>
          <w:rFonts w:ascii="Times New Roman" w:eastAsia="Times New Roman" w:hAnsi="Times New Roman" w:cs="Times New Roman"/>
          <w:sz w:val="24"/>
          <w:szCs w:val="24"/>
        </w:rPr>
        <w:t>Diseño y validación socio-institucional del modelo a través del pilotaje del MoGPA.</w:t>
      </w:r>
    </w:p>
    <w:p w14:paraId="7CF34993" w14:textId="77777777" w:rsidR="008D7FA6" w:rsidRPr="00D269C7" w:rsidRDefault="008D7FA6" w:rsidP="00A11B69">
      <w:pPr>
        <w:spacing w:line="360" w:lineRule="auto"/>
        <w:ind w:left="-30"/>
        <w:jc w:val="both"/>
        <w:rPr>
          <w:rFonts w:ascii="Times New Roman" w:eastAsia="Times New Roman" w:hAnsi="Times New Roman" w:cs="Times New Roman"/>
          <w:sz w:val="24"/>
          <w:szCs w:val="24"/>
        </w:rPr>
      </w:pPr>
    </w:p>
    <w:p w14:paraId="1C5A9599" w14:textId="77777777" w:rsidR="008D7FA6" w:rsidRPr="00D269C7" w:rsidRDefault="006757E4" w:rsidP="00A11B69">
      <w:pPr>
        <w:spacing w:line="360" w:lineRule="auto"/>
        <w:ind w:left="-30"/>
        <w:jc w:val="both"/>
        <w:rPr>
          <w:rFonts w:ascii="Times New Roman" w:eastAsia="Times New Roman" w:hAnsi="Times New Roman" w:cs="Times New Roman"/>
          <w:sz w:val="24"/>
          <w:szCs w:val="24"/>
        </w:rPr>
      </w:pPr>
      <w:r w:rsidRPr="00D269C7">
        <w:rPr>
          <w:rFonts w:ascii="Times New Roman" w:eastAsia="Times New Roman" w:hAnsi="Times New Roman" w:cs="Times New Roman"/>
          <w:sz w:val="24"/>
          <w:szCs w:val="24"/>
        </w:rPr>
        <w:t>El modelo que diseñamos a partir del análisis de las fuentes señaladas, se enfocó en tres ámbitos centrales de tratamiento:</w:t>
      </w:r>
    </w:p>
    <w:p w14:paraId="5A29D889" w14:textId="77777777" w:rsidR="00216292" w:rsidRPr="00D269C7" w:rsidRDefault="00216292" w:rsidP="00A11B69">
      <w:pPr>
        <w:spacing w:line="360" w:lineRule="auto"/>
        <w:ind w:left="-30"/>
        <w:jc w:val="both"/>
        <w:rPr>
          <w:rFonts w:ascii="Times New Roman" w:eastAsia="Times New Roman" w:hAnsi="Times New Roman" w:cs="Times New Roman"/>
          <w:sz w:val="24"/>
          <w:szCs w:val="24"/>
        </w:rPr>
      </w:pPr>
    </w:p>
    <w:p w14:paraId="1264E454" w14:textId="77777777" w:rsidR="008D7FA6" w:rsidRPr="00D269C7" w:rsidRDefault="006757E4" w:rsidP="00A11B69">
      <w:pPr>
        <w:spacing w:line="360" w:lineRule="auto"/>
        <w:ind w:left="-30"/>
        <w:jc w:val="both"/>
        <w:rPr>
          <w:rFonts w:ascii="Times New Roman" w:eastAsia="Times New Roman" w:hAnsi="Times New Roman" w:cs="Times New Roman"/>
          <w:sz w:val="24"/>
          <w:szCs w:val="24"/>
        </w:rPr>
      </w:pPr>
      <w:r w:rsidRPr="00D269C7">
        <w:rPr>
          <w:rFonts w:ascii="Times New Roman" w:eastAsia="Times New Roman" w:hAnsi="Times New Roman" w:cs="Times New Roman"/>
          <w:sz w:val="24"/>
          <w:szCs w:val="24"/>
        </w:rPr>
        <w:lastRenderedPageBreak/>
        <w:t>1) la actualización de la base normativa que fundamenta la necesidad de contar con PA en el proceso de defensa penal,</w:t>
      </w:r>
    </w:p>
    <w:p w14:paraId="439814DA" w14:textId="77777777" w:rsidR="008D7FA6" w:rsidRPr="00D269C7" w:rsidRDefault="006757E4" w:rsidP="00A11B69">
      <w:pPr>
        <w:spacing w:line="360" w:lineRule="auto"/>
        <w:ind w:left="-30"/>
        <w:jc w:val="both"/>
        <w:rPr>
          <w:rFonts w:ascii="Times New Roman" w:eastAsia="Times New Roman" w:hAnsi="Times New Roman" w:cs="Times New Roman"/>
          <w:sz w:val="24"/>
          <w:szCs w:val="24"/>
        </w:rPr>
      </w:pPr>
      <w:r w:rsidRPr="00D269C7">
        <w:rPr>
          <w:rFonts w:ascii="Times New Roman" w:eastAsia="Times New Roman" w:hAnsi="Times New Roman" w:cs="Times New Roman"/>
          <w:sz w:val="24"/>
          <w:szCs w:val="24"/>
        </w:rPr>
        <w:t xml:space="preserve">2) la reformulación conceptual de la noción de PA incrustada en </w:t>
      </w:r>
      <w:r w:rsidR="00055931">
        <w:rPr>
          <w:rFonts w:ascii="Times New Roman" w:eastAsia="Times New Roman" w:hAnsi="Times New Roman" w:cs="Times New Roman"/>
          <w:sz w:val="24"/>
          <w:szCs w:val="24"/>
        </w:rPr>
        <w:t>la institución</w:t>
      </w:r>
      <w:r w:rsidRPr="00D269C7">
        <w:rPr>
          <w:rFonts w:ascii="Times New Roman" w:eastAsia="Times New Roman" w:hAnsi="Times New Roman" w:cs="Times New Roman"/>
          <w:sz w:val="24"/>
          <w:szCs w:val="24"/>
        </w:rPr>
        <w:t xml:space="preserve">, y </w:t>
      </w:r>
    </w:p>
    <w:p w14:paraId="3C64BAB9" w14:textId="77777777" w:rsidR="008D7FA6" w:rsidRPr="00D269C7" w:rsidRDefault="006757E4" w:rsidP="00A11B69">
      <w:pPr>
        <w:spacing w:line="360" w:lineRule="auto"/>
        <w:ind w:left="-30"/>
        <w:jc w:val="both"/>
        <w:rPr>
          <w:rFonts w:ascii="Times New Roman" w:eastAsia="Times New Roman" w:hAnsi="Times New Roman" w:cs="Times New Roman"/>
          <w:sz w:val="24"/>
          <w:szCs w:val="24"/>
        </w:rPr>
      </w:pPr>
      <w:r w:rsidRPr="00D269C7">
        <w:rPr>
          <w:rFonts w:ascii="Times New Roman" w:eastAsia="Times New Roman" w:hAnsi="Times New Roman" w:cs="Times New Roman"/>
          <w:sz w:val="24"/>
          <w:szCs w:val="24"/>
        </w:rPr>
        <w:t>3) la especificación de los aspectos metodológicos y procedimentales que precisa el proceso de gestión del PA en la defensa penal.</w:t>
      </w:r>
    </w:p>
    <w:p w14:paraId="7F5C28A4" w14:textId="77777777" w:rsidR="008D7FA6" w:rsidRPr="00D269C7" w:rsidRDefault="008D7FA6" w:rsidP="00A11B69">
      <w:pPr>
        <w:spacing w:line="360" w:lineRule="auto"/>
        <w:ind w:left="-30"/>
        <w:jc w:val="both"/>
        <w:rPr>
          <w:rFonts w:ascii="Times New Roman" w:eastAsia="Times New Roman" w:hAnsi="Times New Roman" w:cs="Times New Roman"/>
          <w:sz w:val="24"/>
          <w:szCs w:val="24"/>
        </w:rPr>
      </w:pPr>
    </w:p>
    <w:p w14:paraId="0D9008D4" w14:textId="77777777" w:rsidR="008D7FA6" w:rsidRPr="00D269C7" w:rsidRDefault="006757E4" w:rsidP="00A11B69">
      <w:pPr>
        <w:spacing w:line="360" w:lineRule="auto"/>
        <w:ind w:left="-30"/>
        <w:jc w:val="both"/>
        <w:rPr>
          <w:rFonts w:ascii="Times New Roman" w:eastAsia="Times New Roman" w:hAnsi="Times New Roman" w:cs="Times New Roman"/>
          <w:sz w:val="24"/>
          <w:szCs w:val="24"/>
        </w:rPr>
      </w:pPr>
      <w:r w:rsidRPr="00D269C7">
        <w:rPr>
          <w:rFonts w:ascii="Times New Roman" w:eastAsia="Times New Roman" w:hAnsi="Times New Roman" w:cs="Times New Roman"/>
          <w:sz w:val="24"/>
          <w:szCs w:val="24"/>
        </w:rPr>
        <w:t xml:space="preserve">En cuanto al primero de estos ámbitos, afirmamos que un MoGPA precisa estar a tono con las corrientes actuales de cambio cultural propiciadas en las Américas en el campo jurídico normativo, basadas en la afirmación de un pluralismo igualitario (Hoekema, 2002; Sánchez Botero, 2010). En este marco, el PA actúa como una herramienta de reconocimiento de la diversidad sociocultural como principio de garantía de un trato justo (Ávila Linzán, 2011). De este modo, fue imprescindible diseñar un modelo que integrara los principales fundamentos normativos a partir de los cuales el PA adquiere el estatus de prueba necesaria y apropiada en el proceso de defensa penal especializada y, por ende, dentro del proceso judicial. Entre estos fundamentos se encuentran los relativos a los derechos de los pueblos indígenas, los derechos de las minorías sexuales y de género, los derechos de libertad de cultos y expresión, los derechos de inmigrantes y los derechos de las personas privadas de libertad en contexto carcelario, la mayoría de los cuales han sido ratificados por el Estado chileno. </w:t>
      </w:r>
    </w:p>
    <w:p w14:paraId="69AF5A32" w14:textId="77777777" w:rsidR="008D7FA6" w:rsidRPr="00D269C7" w:rsidRDefault="006757E4" w:rsidP="00A11B69">
      <w:pPr>
        <w:spacing w:line="360" w:lineRule="auto"/>
        <w:jc w:val="both"/>
        <w:rPr>
          <w:rFonts w:ascii="Times New Roman" w:eastAsia="Times New Roman" w:hAnsi="Times New Roman" w:cs="Times New Roman"/>
          <w:sz w:val="24"/>
          <w:szCs w:val="24"/>
        </w:rPr>
      </w:pPr>
      <w:r w:rsidRPr="00D269C7">
        <w:rPr>
          <w:rFonts w:ascii="Times New Roman" w:eastAsia="Times New Roman" w:hAnsi="Times New Roman" w:cs="Times New Roman"/>
          <w:sz w:val="24"/>
          <w:szCs w:val="24"/>
        </w:rPr>
        <w:t xml:space="preserve">En cuanto a la dimensión conceptual, y tras introducir la necesidad de revisar la noción de PA como un tipo de peritaje ocupado de hechos penales concretos respecto de los cuales el perito debe mostrar la asociación con la costumbre indígena, definimos el PA como una herramienta antropológica que permite comprender y valorar desde la perspectiva de los actores -esto es, los diversos y disímiles modos de ser, hacer, pensar y sentir de éstos-, así como reconstruir los contextos de vida familiar, residencial, territorial en los que se insertan y los fenómenos de persistencia y cambio institucional y cultural que los afectan. </w:t>
      </w:r>
    </w:p>
    <w:p w14:paraId="07241E50" w14:textId="77777777" w:rsidR="008D7FA6" w:rsidRPr="00D269C7" w:rsidRDefault="006757E4" w:rsidP="00A11B69">
      <w:pPr>
        <w:spacing w:line="360" w:lineRule="auto"/>
        <w:jc w:val="both"/>
        <w:rPr>
          <w:rFonts w:ascii="Times New Roman" w:eastAsia="Times New Roman" w:hAnsi="Times New Roman" w:cs="Times New Roman"/>
          <w:sz w:val="24"/>
          <w:szCs w:val="24"/>
        </w:rPr>
      </w:pPr>
      <w:r w:rsidRPr="00D269C7">
        <w:rPr>
          <w:rFonts w:ascii="Times New Roman" w:eastAsia="Times New Roman" w:hAnsi="Times New Roman" w:cs="Times New Roman"/>
          <w:sz w:val="24"/>
          <w:szCs w:val="24"/>
        </w:rPr>
        <w:t xml:space="preserve">Como hemos mostrado, el concepto institucionalizado de PA es estrecho y remite a </w:t>
      </w:r>
      <w:r w:rsidRPr="00D269C7">
        <w:rPr>
          <w:rFonts w:ascii="Times New Roman" w:eastAsia="Times New Roman" w:hAnsi="Times New Roman" w:cs="Times New Roman"/>
          <w:i/>
          <w:sz w:val="24"/>
          <w:szCs w:val="24"/>
        </w:rPr>
        <w:t xml:space="preserve">un </w:t>
      </w:r>
      <w:r w:rsidRPr="00D269C7">
        <w:rPr>
          <w:rFonts w:ascii="Times New Roman" w:eastAsia="Times New Roman" w:hAnsi="Times New Roman" w:cs="Times New Roman"/>
          <w:sz w:val="24"/>
          <w:szCs w:val="24"/>
        </w:rPr>
        <w:t xml:space="preserve">campo de acción dentro de un conjunto amplio y heterogéneo de campos y escenarios. De allí que tuviéramos que esclarecer cuáles son estos campos y escenarios. En principio, discernimos los campos según los tipos de actores individuales y colectivos involucrados. De este modo, propusimos diferenciar el campo étnico-cultural referido a actores pertenecientes a cualquiera de los nueve pueblos indígenas de Chile, respecto de un segundo campo, que denominamos emergente. Este segundo campo involucra a cualquier persona chilena o extranjera que afirme o exhiba una identidad diferenciada al interior de la sociedad chilena. El primero de estos </w:t>
      </w:r>
      <w:r w:rsidRPr="00D269C7">
        <w:rPr>
          <w:rFonts w:ascii="Times New Roman" w:eastAsia="Times New Roman" w:hAnsi="Times New Roman" w:cs="Times New Roman"/>
          <w:sz w:val="24"/>
          <w:szCs w:val="24"/>
        </w:rPr>
        <w:lastRenderedPageBreak/>
        <w:t>campos constituye el ámbito de desempeño del PA más tradicional y recurrente en Chile y América Latina, mientras que el segundo es en ambos contextos todavía muy incipiente.</w:t>
      </w:r>
    </w:p>
    <w:p w14:paraId="0FAB96FE" w14:textId="77777777" w:rsidR="008D7FA6" w:rsidRPr="00D269C7" w:rsidRDefault="006757E4" w:rsidP="00A11B69">
      <w:pPr>
        <w:spacing w:line="360" w:lineRule="auto"/>
        <w:jc w:val="both"/>
        <w:rPr>
          <w:rFonts w:ascii="Times New Roman" w:eastAsia="Times New Roman" w:hAnsi="Times New Roman" w:cs="Times New Roman"/>
          <w:sz w:val="24"/>
          <w:szCs w:val="24"/>
        </w:rPr>
      </w:pPr>
      <w:r w:rsidRPr="00D269C7">
        <w:rPr>
          <w:rFonts w:ascii="Times New Roman" w:eastAsia="Times New Roman" w:hAnsi="Times New Roman" w:cs="Times New Roman"/>
          <w:sz w:val="24"/>
          <w:szCs w:val="24"/>
        </w:rPr>
        <w:t>En segundo lugar, distinguimos que cada campo comporta clases de situaciones o hechos penales específicos, asociados al tipo de actor identificado recién. Aplicado al contexto en que nos desenvolvemos, en el primer campo predominan situaciones que acaecen en el marco del proceso reivindicativo político – territorial que desarrolla el pueblo mapuche desde fines de los años ‘90, seguidas de conflictos internos entre personas y unidades sociales más amplias (</w:t>
      </w:r>
      <w:r w:rsidR="00216292" w:rsidRPr="00D269C7">
        <w:rPr>
          <w:rFonts w:ascii="Times New Roman" w:eastAsia="Times New Roman" w:hAnsi="Times New Roman" w:cs="Times New Roman"/>
          <w:sz w:val="24"/>
          <w:szCs w:val="24"/>
        </w:rPr>
        <w:t>como los</w:t>
      </w:r>
      <w:r w:rsidRPr="00D269C7">
        <w:rPr>
          <w:rFonts w:ascii="Times New Roman" w:eastAsia="Times New Roman" w:hAnsi="Times New Roman" w:cs="Times New Roman"/>
          <w:sz w:val="24"/>
          <w:szCs w:val="24"/>
        </w:rPr>
        <w:t xml:space="preserve"> </w:t>
      </w:r>
      <w:r w:rsidRPr="00D269C7">
        <w:rPr>
          <w:rFonts w:ascii="Times New Roman" w:eastAsia="Times New Roman" w:hAnsi="Times New Roman" w:cs="Times New Roman"/>
          <w:i/>
          <w:sz w:val="24"/>
          <w:szCs w:val="24"/>
        </w:rPr>
        <w:t>lof che</w:t>
      </w:r>
      <w:r w:rsidRPr="00D269C7">
        <w:rPr>
          <w:rFonts w:ascii="Times New Roman" w:eastAsia="Times New Roman" w:hAnsi="Times New Roman" w:cs="Times New Roman"/>
          <w:sz w:val="24"/>
          <w:szCs w:val="24"/>
        </w:rPr>
        <w:t>); en tercer lugar, encontramos situaciones de penalización de prácticas culturales por parte de agentes de control y administración de justicia estatal que actúan movidos desde criterios biopolíticos.</w:t>
      </w:r>
    </w:p>
    <w:p w14:paraId="44CC3D07" w14:textId="77777777" w:rsidR="008D7FA6" w:rsidRPr="00D269C7" w:rsidRDefault="006757E4" w:rsidP="00A11B69">
      <w:pPr>
        <w:spacing w:line="360" w:lineRule="auto"/>
        <w:jc w:val="both"/>
        <w:rPr>
          <w:rFonts w:ascii="Times New Roman" w:eastAsia="Times New Roman" w:hAnsi="Times New Roman" w:cs="Times New Roman"/>
          <w:sz w:val="24"/>
          <w:szCs w:val="24"/>
        </w:rPr>
      </w:pPr>
      <w:r w:rsidRPr="00D269C7">
        <w:rPr>
          <w:rFonts w:ascii="Times New Roman" w:eastAsia="Times New Roman" w:hAnsi="Times New Roman" w:cs="Times New Roman"/>
          <w:sz w:val="24"/>
          <w:szCs w:val="24"/>
        </w:rPr>
        <w:t>En el campo emergente, en tanto, encontramos situaciones asociadas a conflictos derivados de las diferencias religiosas, de género, edad, nacionales, raciales y, al igual que en el campo tradicional, también la penalización de las prácticas culturales de los imputados.</w:t>
      </w:r>
    </w:p>
    <w:p w14:paraId="6A4E1C91" w14:textId="77777777" w:rsidR="008D7FA6" w:rsidRPr="00D269C7" w:rsidRDefault="006757E4" w:rsidP="00A11B69">
      <w:pPr>
        <w:spacing w:line="360" w:lineRule="auto"/>
        <w:jc w:val="both"/>
        <w:rPr>
          <w:rFonts w:ascii="Times New Roman" w:eastAsia="Times New Roman" w:hAnsi="Times New Roman" w:cs="Times New Roman"/>
          <w:sz w:val="24"/>
          <w:szCs w:val="24"/>
        </w:rPr>
      </w:pPr>
      <w:r w:rsidRPr="00D269C7">
        <w:rPr>
          <w:rFonts w:ascii="Times New Roman" w:eastAsia="Times New Roman" w:hAnsi="Times New Roman" w:cs="Times New Roman"/>
          <w:sz w:val="24"/>
          <w:szCs w:val="24"/>
        </w:rPr>
        <w:t>Frente al reduccionismo de las funciones del PA en el proceso de defensa penal, el estudio de la casuística penal con PA y el análisis de contenido de las declaraciones de los defensores/as de la DPP, ayudaron a establecer nuevas funciones, además de la probatoria del marco procesal. Estas funciones contemplan:</w:t>
      </w:r>
    </w:p>
    <w:p w14:paraId="51AADD83" w14:textId="77777777" w:rsidR="008D7FA6" w:rsidRPr="00D269C7" w:rsidRDefault="006757E4" w:rsidP="00A11B69">
      <w:pPr>
        <w:spacing w:line="360" w:lineRule="auto"/>
        <w:jc w:val="both"/>
        <w:rPr>
          <w:rFonts w:ascii="Times New Roman" w:eastAsia="Times New Roman" w:hAnsi="Times New Roman" w:cs="Times New Roman"/>
          <w:sz w:val="24"/>
          <w:szCs w:val="24"/>
        </w:rPr>
      </w:pPr>
      <w:r w:rsidRPr="00D269C7">
        <w:rPr>
          <w:rFonts w:ascii="Times New Roman" w:eastAsia="Times New Roman" w:hAnsi="Times New Roman" w:cs="Times New Roman"/>
          <w:sz w:val="24"/>
          <w:szCs w:val="24"/>
        </w:rPr>
        <w:t xml:space="preserve"> </w:t>
      </w:r>
    </w:p>
    <w:p w14:paraId="2300C794" w14:textId="77777777" w:rsidR="008D7FA6" w:rsidRPr="00D269C7" w:rsidRDefault="006757E4" w:rsidP="00A11B69">
      <w:pPr>
        <w:numPr>
          <w:ilvl w:val="0"/>
          <w:numId w:val="3"/>
        </w:numPr>
        <w:spacing w:line="360" w:lineRule="auto"/>
        <w:contextualSpacing/>
        <w:jc w:val="both"/>
        <w:rPr>
          <w:rFonts w:ascii="Times New Roman" w:eastAsia="Times New Roman" w:hAnsi="Times New Roman" w:cs="Times New Roman"/>
          <w:sz w:val="24"/>
          <w:szCs w:val="24"/>
        </w:rPr>
      </w:pPr>
      <w:r w:rsidRPr="00D269C7">
        <w:rPr>
          <w:rFonts w:ascii="Times New Roman" w:eastAsia="Times New Roman" w:hAnsi="Times New Roman" w:cs="Times New Roman"/>
          <w:sz w:val="24"/>
          <w:szCs w:val="24"/>
        </w:rPr>
        <w:t>el dominio indagativo o de la investigación: el PA es un instrumento científico que ayuda a levantar datos útiles para la investigación penal, así como para construir la  prueba y visualizar líneas o estrategias de defensa basadas en evidencia sociocultural;</w:t>
      </w:r>
    </w:p>
    <w:p w14:paraId="6FF53C33" w14:textId="77777777" w:rsidR="008D7FA6" w:rsidRPr="00D269C7" w:rsidRDefault="006757E4" w:rsidP="00A11B69">
      <w:pPr>
        <w:numPr>
          <w:ilvl w:val="0"/>
          <w:numId w:val="3"/>
        </w:numPr>
        <w:spacing w:line="360" w:lineRule="auto"/>
        <w:contextualSpacing/>
        <w:jc w:val="both"/>
        <w:rPr>
          <w:rFonts w:ascii="Times New Roman" w:eastAsia="Times New Roman" w:hAnsi="Times New Roman" w:cs="Times New Roman"/>
          <w:sz w:val="24"/>
          <w:szCs w:val="24"/>
        </w:rPr>
      </w:pPr>
      <w:r w:rsidRPr="00D269C7">
        <w:rPr>
          <w:rFonts w:ascii="Times New Roman" w:eastAsia="Times New Roman" w:hAnsi="Times New Roman" w:cs="Times New Roman"/>
          <w:sz w:val="24"/>
          <w:szCs w:val="24"/>
        </w:rPr>
        <w:t>el dominio comprensivo-explicativo: el PA da luces para comprender apropiadamente la lógica de las acciones humanas, al situarlas en las coordenadas socioculturales y temporo-espaciales de ocurrencia de las mismas;</w:t>
      </w:r>
    </w:p>
    <w:p w14:paraId="2E135CA6" w14:textId="77777777" w:rsidR="008D7FA6" w:rsidRPr="00D269C7" w:rsidRDefault="006757E4" w:rsidP="00A11B69">
      <w:pPr>
        <w:numPr>
          <w:ilvl w:val="0"/>
          <w:numId w:val="3"/>
        </w:numPr>
        <w:spacing w:line="360" w:lineRule="auto"/>
        <w:contextualSpacing/>
        <w:jc w:val="both"/>
        <w:rPr>
          <w:rFonts w:ascii="Times New Roman" w:eastAsia="Times New Roman" w:hAnsi="Times New Roman" w:cs="Times New Roman"/>
          <w:sz w:val="24"/>
          <w:szCs w:val="24"/>
        </w:rPr>
      </w:pPr>
      <w:r w:rsidRPr="00D269C7">
        <w:rPr>
          <w:rFonts w:ascii="Times New Roman" w:eastAsia="Times New Roman" w:hAnsi="Times New Roman" w:cs="Times New Roman"/>
          <w:sz w:val="24"/>
          <w:szCs w:val="24"/>
        </w:rPr>
        <w:t>el dominio ilustrativo: el PA ofrece evidencias socioculturales que permiten ilustrar hechos, situaciones, puntos de vista y cualquier otro objeto que se estime necesario desde la perspectiva procesal;</w:t>
      </w:r>
    </w:p>
    <w:p w14:paraId="37D62A57" w14:textId="77777777" w:rsidR="008D7FA6" w:rsidRPr="00D269C7" w:rsidRDefault="006757E4" w:rsidP="00A11B69">
      <w:pPr>
        <w:numPr>
          <w:ilvl w:val="0"/>
          <w:numId w:val="3"/>
        </w:numPr>
        <w:spacing w:line="360" w:lineRule="auto"/>
        <w:contextualSpacing/>
        <w:jc w:val="both"/>
        <w:rPr>
          <w:rFonts w:ascii="Times New Roman" w:eastAsia="Times New Roman" w:hAnsi="Times New Roman" w:cs="Times New Roman"/>
          <w:sz w:val="24"/>
          <w:szCs w:val="24"/>
        </w:rPr>
      </w:pPr>
      <w:r w:rsidRPr="00D269C7">
        <w:rPr>
          <w:rFonts w:ascii="Times New Roman" w:eastAsia="Times New Roman" w:hAnsi="Times New Roman" w:cs="Times New Roman"/>
          <w:sz w:val="24"/>
          <w:szCs w:val="24"/>
        </w:rPr>
        <w:t>el dominio valorativo: el PA conduce a una valoración o apreciación más objetiva y rigurosa de los hechos socioculturales, permitiendo así la formación de un convencimiento jurídico contextualizado que aminora los contenidos etno y socio-céntricos proyectados por agentes jurídicos ajenos a los mundos de vida de las personas imputadas. Otra acepción en este dominio corresponde a la que define al perito como evaluador que puede</w:t>
      </w:r>
      <w:r w:rsidR="00216292" w:rsidRPr="00D269C7">
        <w:rPr>
          <w:rFonts w:ascii="Times New Roman" w:eastAsia="Times New Roman" w:hAnsi="Times New Roman" w:cs="Times New Roman"/>
          <w:sz w:val="24"/>
          <w:szCs w:val="24"/>
        </w:rPr>
        <w:t>, según</w:t>
      </w:r>
      <w:r w:rsidRPr="00D269C7">
        <w:rPr>
          <w:rFonts w:ascii="Times New Roman" w:eastAsia="Times New Roman" w:hAnsi="Times New Roman" w:cs="Times New Roman"/>
          <w:sz w:val="24"/>
          <w:szCs w:val="24"/>
        </w:rPr>
        <w:t xml:space="preserve"> </w:t>
      </w:r>
      <w:r w:rsidR="00216292" w:rsidRPr="00D269C7">
        <w:rPr>
          <w:rFonts w:ascii="Times New Roman" w:eastAsia="Times New Roman" w:hAnsi="Times New Roman" w:cs="Times New Roman"/>
          <w:sz w:val="24"/>
          <w:szCs w:val="24"/>
        </w:rPr>
        <w:t xml:space="preserve">Sánchez Botero (2010) </w:t>
      </w:r>
      <w:r w:rsidRPr="00D269C7">
        <w:rPr>
          <w:rFonts w:ascii="Times New Roman" w:eastAsia="Times New Roman" w:hAnsi="Times New Roman" w:cs="Times New Roman"/>
          <w:sz w:val="24"/>
          <w:szCs w:val="24"/>
        </w:rPr>
        <w:t xml:space="preserve">“establecer daños y perjuicios con respecto a los hechos” </w:t>
      </w:r>
      <w:r w:rsidR="00216292" w:rsidRPr="00D269C7">
        <w:rPr>
          <w:rFonts w:ascii="Times New Roman" w:eastAsia="Times New Roman" w:hAnsi="Times New Roman" w:cs="Times New Roman"/>
          <w:sz w:val="24"/>
          <w:szCs w:val="24"/>
        </w:rPr>
        <w:t>[</w:t>
      </w:r>
      <w:r w:rsidRPr="00D269C7">
        <w:rPr>
          <w:rFonts w:ascii="Times New Roman" w:eastAsia="Times New Roman" w:hAnsi="Times New Roman" w:cs="Times New Roman"/>
          <w:sz w:val="24"/>
          <w:szCs w:val="24"/>
        </w:rPr>
        <w:t>134</w:t>
      </w:r>
      <w:r w:rsidR="00216292" w:rsidRPr="00D269C7">
        <w:rPr>
          <w:rFonts w:ascii="Times New Roman" w:eastAsia="Times New Roman" w:hAnsi="Times New Roman" w:cs="Times New Roman"/>
          <w:sz w:val="24"/>
          <w:szCs w:val="24"/>
        </w:rPr>
        <w:t>]</w:t>
      </w:r>
      <w:r w:rsidRPr="00D269C7">
        <w:rPr>
          <w:rFonts w:ascii="Times New Roman" w:eastAsia="Times New Roman" w:hAnsi="Times New Roman" w:cs="Times New Roman"/>
          <w:sz w:val="24"/>
          <w:szCs w:val="24"/>
        </w:rPr>
        <w:t>.</w:t>
      </w:r>
    </w:p>
    <w:p w14:paraId="2E2323DF" w14:textId="77777777" w:rsidR="008D7FA6" w:rsidRPr="00D269C7" w:rsidRDefault="006757E4" w:rsidP="00A11B69">
      <w:pPr>
        <w:spacing w:line="360" w:lineRule="auto"/>
        <w:jc w:val="both"/>
        <w:rPr>
          <w:rFonts w:ascii="Times New Roman" w:eastAsia="Times New Roman" w:hAnsi="Times New Roman" w:cs="Times New Roman"/>
          <w:sz w:val="24"/>
          <w:szCs w:val="24"/>
        </w:rPr>
      </w:pPr>
      <w:r w:rsidRPr="00D269C7">
        <w:rPr>
          <w:rFonts w:ascii="Times New Roman" w:eastAsia="Times New Roman" w:hAnsi="Times New Roman" w:cs="Times New Roman"/>
          <w:sz w:val="24"/>
          <w:szCs w:val="24"/>
        </w:rPr>
        <w:lastRenderedPageBreak/>
        <w:t xml:space="preserve">En el dominio probatorio el PA proporciona evidencias socioculturales basadas en enunciados fácticos que corroboran las hipótesis o teorías del caso elaboradas por el defensor, incidiendo así en las decisiones jurídicas que afectan a personas imputadas; en tanto prueba, el PA “siempre ha de interpretar y mostrar las realidades culturales que son centrales en la valoración, el razonamiento y la argumentación probatoria de ciertos hechos” </w:t>
      </w:r>
      <w:r w:rsidR="00216292" w:rsidRPr="00D269C7">
        <w:rPr>
          <w:rFonts w:ascii="Times New Roman" w:eastAsia="Times New Roman" w:hAnsi="Times New Roman" w:cs="Times New Roman"/>
          <w:sz w:val="24"/>
          <w:szCs w:val="24"/>
        </w:rPr>
        <w:t>[136] (Sánchez Botero, 2010</w:t>
      </w:r>
      <w:r w:rsidRPr="00D269C7">
        <w:rPr>
          <w:rFonts w:ascii="Times New Roman" w:eastAsia="Times New Roman" w:hAnsi="Times New Roman" w:cs="Times New Roman"/>
          <w:sz w:val="24"/>
          <w:szCs w:val="24"/>
        </w:rPr>
        <w:t>).</w:t>
      </w:r>
    </w:p>
    <w:p w14:paraId="1523FACE" w14:textId="77777777" w:rsidR="008D7FA6" w:rsidRPr="00D269C7" w:rsidRDefault="006757E4" w:rsidP="00A11B69">
      <w:pPr>
        <w:spacing w:line="360" w:lineRule="auto"/>
        <w:jc w:val="both"/>
        <w:rPr>
          <w:rFonts w:ascii="Times New Roman" w:eastAsia="Times New Roman" w:hAnsi="Times New Roman" w:cs="Times New Roman"/>
          <w:sz w:val="24"/>
          <w:szCs w:val="24"/>
        </w:rPr>
      </w:pPr>
      <w:r w:rsidRPr="00D269C7">
        <w:rPr>
          <w:rFonts w:ascii="Times New Roman" w:eastAsia="Times New Roman" w:hAnsi="Times New Roman" w:cs="Times New Roman"/>
          <w:sz w:val="24"/>
          <w:szCs w:val="24"/>
        </w:rPr>
        <w:t>El MoGPA aporta un marco específico para trabajar el PA de manera focalizada. Particularmente se aclaran funciones y objetivos de conocimiento, que se planteaban de modo ambiguo o confuso en los procedimientos institucionales.</w:t>
      </w:r>
    </w:p>
    <w:p w14:paraId="20596DAE" w14:textId="77777777" w:rsidR="008D7FA6" w:rsidRPr="00D269C7" w:rsidRDefault="006757E4" w:rsidP="00A11B69">
      <w:pPr>
        <w:spacing w:line="360" w:lineRule="auto"/>
        <w:jc w:val="both"/>
        <w:rPr>
          <w:rFonts w:ascii="Times New Roman" w:eastAsia="Times New Roman" w:hAnsi="Times New Roman" w:cs="Times New Roman"/>
          <w:sz w:val="24"/>
          <w:szCs w:val="24"/>
        </w:rPr>
      </w:pPr>
      <w:r w:rsidRPr="00D269C7">
        <w:rPr>
          <w:rFonts w:ascii="Times New Roman" w:eastAsia="Times New Roman" w:hAnsi="Times New Roman" w:cs="Times New Roman"/>
          <w:sz w:val="24"/>
          <w:szCs w:val="24"/>
        </w:rPr>
        <w:t xml:space="preserve">En cuanto a la especificación de los aspectos metodológicos y procedimentales, involucrados en el proceso de gestión del PA en la defensa penal pública, realizamos una revisión completa del modelo institucional vigente, detectando las fases críticas y las oportunidades ligadas a éstas. De este modo, abordamos el problema de opacidad de las solicitudes y establecimos criterios para garantizar pruebas de calidad, así como maximizar el uso de los recursos económicos y humanos disponibles. </w:t>
      </w:r>
    </w:p>
    <w:p w14:paraId="21D17292" w14:textId="77777777" w:rsidR="008D7FA6" w:rsidRPr="00D269C7" w:rsidRDefault="006757E4" w:rsidP="00A11B69">
      <w:pPr>
        <w:spacing w:line="360" w:lineRule="auto"/>
        <w:jc w:val="both"/>
        <w:rPr>
          <w:rFonts w:ascii="Times New Roman" w:eastAsia="Times New Roman" w:hAnsi="Times New Roman" w:cs="Times New Roman"/>
          <w:sz w:val="24"/>
          <w:szCs w:val="24"/>
        </w:rPr>
      </w:pPr>
      <w:r w:rsidRPr="00D269C7">
        <w:rPr>
          <w:rFonts w:ascii="Times New Roman" w:eastAsia="Times New Roman" w:hAnsi="Times New Roman" w:cs="Times New Roman"/>
          <w:sz w:val="24"/>
          <w:szCs w:val="24"/>
        </w:rPr>
        <w:t>Como principio metodológico central para la gestión de PA, incorporamos la interacción más o menos frecuente entre el defensor y el perito antropólogo. Este principio estaría presente desde el inicio del proceso, a partir de la visualización del requerimiento pericial antropológico. Atravesaría luego las fases de definición del objeto pericial, la fase de realización de la investigación, la fase de comunicación de los resultados al defensor y la fase de preparación de la comparecencia del perito en tribunales. La puesta en práctica este principio durante la fase de pilotaje del MoGPA, permitió cautelar la consistencia de las pruebas brindadas por el perito respecto de la teoría del caso y en su defecto posibilitar la reformulación de la misma a la luz de las mismas pruebas.</w:t>
      </w:r>
    </w:p>
    <w:p w14:paraId="7B251404" w14:textId="77777777" w:rsidR="008D7FA6" w:rsidRPr="00D269C7" w:rsidRDefault="006757E4" w:rsidP="00A11B69">
      <w:pPr>
        <w:spacing w:line="360" w:lineRule="auto"/>
        <w:jc w:val="both"/>
        <w:rPr>
          <w:rFonts w:ascii="Times New Roman" w:eastAsia="Times New Roman" w:hAnsi="Times New Roman" w:cs="Times New Roman"/>
          <w:sz w:val="24"/>
          <w:szCs w:val="24"/>
        </w:rPr>
      </w:pPr>
      <w:r w:rsidRPr="00D269C7">
        <w:rPr>
          <w:rFonts w:ascii="Times New Roman" w:eastAsia="Times New Roman" w:hAnsi="Times New Roman" w:cs="Times New Roman"/>
          <w:sz w:val="24"/>
          <w:szCs w:val="24"/>
        </w:rPr>
        <w:t>Esta propuesta implica que el defensor deje de ser (auto)concebido como una figura central en el proceso de producción y valoración de pruebas, asuma sus limitaciones en cuanto al conocimiento de los fenómenos relativos a la diversidad sociocultural y se abra a una dinámica interactiva con todos quienes se estime para asegurar una defensa acorde a los estándares de confiabilidad que actualmente se discuten en el contexto académico (Duce, 2013).</w:t>
      </w:r>
    </w:p>
    <w:p w14:paraId="587DDA82" w14:textId="77777777" w:rsidR="008D7FA6" w:rsidRPr="00D269C7" w:rsidRDefault="006757E4" w:rsidP="00A11B69">
      <w:pPr>
        <w:spacing w:line="360" w:lineRule="auto"/>
        <w:jc w:val="both"/>
        <w:rPr>
          <w:rFonts w:ascii="Times New Roman" w:eastAsia="Times New Roman" w:hAnsi="Times New Roman" w:cs="Times New Roman"/>
          <w:sz w:val="24"/>
          <w:szCs w:val="24"/>
        </w:rPr>
      </w:pPr>
      <w:r w:rsidRPr="00D269C7">
        <w:rPr>
          <w:rFonts w:ascii="Times New Roman" w:eastAsia="Times New Roman" w:hAnsi="Times New Roman" w:cs="Times New Roman"/>
          <w:sz w:val="24"/>
          <w:szCs w:val="24"/>
        </w:rPr>
        <w:t xml:space="preserve">Como novedad propusimos que en la fase previa a la solicitud del PA, se realice una revisión de los antecedentes con el defensor de la DPP, bajo la modalidad de la “clínica jurídica” en la que participe un antropólogo asesor de la DPP, ya sea como profesional de ésta o a partir de la vinculación académica. Asimismo, se contempló fortalecer el rol de los “facilitadores </w:t>
      </w:r>
      <w:r w:rsidRPr="00D269C7">
        <w:rPr>
          <w:rFonts w:ascii="Times New Roman" w:eastAsia="Times New Roman" w:hAnsi="Times New Roman" w:cs="Times New Roman"/>
          <w:sz w:val="24"/>
          <w:szCs w:val="24"/>
        </w:rPr>
        <w:lastRenderedPageBreak/>
        <w:t>interculturales” con los que cuenta la DPP, en tanto puentes entre el saber local y el jurídico estatal.</w:t>
      </w:r>
    </w:p>
    <w:p w14:paraId="6F348D35" w14:textId="77777777" w:rsidR="008D7FA6" w:rsidRPr="00D269C7" w:rsidRDefault="006757E4" w:rsidP="00A11B69">
      <w:pPr>
        <w:spacing w:line="360" w:lineRule="auto"/>
        <w:jc w:val="both"/>
        <w:rPr>
          <w:rFonts w:ascii="Times New Roman" w:eastAsia="Times New Roman" w:hAnsi="Times New Roman" w:cs="Times New Roman"/>
          <w:sz w:val="24"/>
          <w:szCs w:val="24"/>
        </w:rPr>
      </w:pPr>
      <w:r w:rsidRPr="00D269C7">
        <w:rPr>
          <w:rFonts w:ascii="Times New Roman" w:eastAsia="Times New Roman" w:hAnsi="Times New Roman" w:cs="Times New Roman"/>
          <w:sz w:val="24"/>
          <w:szCs w:val="24"/>
        </w:rPr>
        <w:t>En lo procedimental el MoGPA supone un rol más activo del defensor en lo extra-jurídico, en cuanto a garantizar los accesos a los contextos de investigación, contactos y la ética de los procesos.</w:t>
      </w:r>
    </w:p>
    <w:p w14:paraId="4E1A1E3E" w14:textId="77777777" w:rsidR="00203D92" w:rsidRPr="00D269C7" w:rsidRDefault="006757E4" w:rsidP="00A11B69">
      <w:pPr>
        <w:spacing w:line="360" w:lineRule="auto"/>
        <w:jc w:val="both"/>
        <w:rPr>
          <w:rFonts w:ascii="Times New Roman" w:eastAsia="Times New Roman" w:hAnsi="Times New Roman" w:cs="Times New Roman"/>
          <w:sz w:val="24"/>
          <w:szCs w:val="24"/>
        </w:rPr>
      </w:pPr>
      <w:r w:rsidRPr="00D269C7">
        <w:rPr>
          <w:rFonts w:ascii="Times New Roman" w:eastAsia="Times New Roman" w:hAnsi="Times New Roman" w:cs="Times New Roman"/>
          <w:sz w:val="24"/>
          <w:szCs w:val="24"/>
        </w:rPr>
        <w:t>Por último, se propusieron nuevos instrumentos para una gestión adecuada y focalizada del PA por parte de los defensores penales públicos. En esta línea, se elaboró un esquema de informe que no existía, así como dos instrumentos para evaluar el desempeño del perito, uno enfocado en su informe escrito y el otro en la comparecencia</w:t>
      </w:r>
      <w:r w:rsidR="00203D92" w:rsidRPr="00D269C7">
        <w:rPr>
          <w:rFonts w:ascii="Times New Roman" w:eastAsia="Times New Roman" w:hAnsi="Times New Roman" w:cs="Times New Roman"/>
          <w:sz w:val="24"/>
          <w:szCs w:val="24"/>
        </w:rPr>
        <w:t>.</w:t>
      </w:r>
    </w:p>
    <w:p w14:paraId="5B071141" w14:textId="77777777" w:rsidR="00203D92" w:rsidRPr="00D269C7" w:rsidRDefault="00203D92" w:rsidP="00A11B69">
      <w:pPr>
        <w:spacing w:line="360" w:lineRule="auto"/>
        <w:jc w:val="both"/>
        <w:rPr>
          <w:rFonts w:ascii="Times New Roman" w:eastAsia="Times New Roman" w:hAnsi="Times New Roman" w:cs="Times New Roman"/>
          <w:sz w:val="24"/>
          <w:szCs w:val="24"/>
        </w:rPr>
      </w:pPr>
    </w:p>
    <w:p w14:paraId="392DD78F" w14:textId="77777777" w:rsidR="00203D92" w:rsidRDefault="00203D92" w:rsidP="00A11B69">
      <w:pPr>
        <w:spacing w:line="360" w:lineRule="auto"/>
        <w:jc w:val="both"/>
        <w:rPr>
          <w:rFonts w:ascii="Times New Roman" w:eastAsia="Times New Roman" w:hAnsi="Times New Roman" w:cs="Times New Roman"/>
          <w:b/>
          <w:sz w:val="24"/>
          <w:szCs w:val="24"/>
        </w:rPr>
      </w:pPr>
      <w:r w:rsidRPr="00D269C7">
        <w:rPr>
          <w:rFonts w:ascii="Times New Roman" w:eastAsia="Times New Roman" w:hAnsi="Times New Roman" w:cs="Times New Roman"/>
          <w:b/>
          <w:sz w:val="24"/>
          <w:szCs w:val="24"/>
        </w:rPr>
        <w:t>Bibliografía</w:t>
      </w:r>
    </w:p>
    <w:p w14:paraId="2EB366D6" w14:textId="77777777" w:rsidR="00055931" w:rsidRPr="00D269C7" w:rsidRDefault="00055931" w:rsidP="00A11B69">
      <w:pPr>
        <w:spacing w:line="360" w:lineRule="auto"/>
        <w:jc w:val="both"/>
        <w:rPr>
          <w:rFonts w:ascii="Times New Roman" w:eastAsia="Times New Roman" w:hAnsi="Times New Roman" w:cs="Times New Roman"/>
          <w:b/>
          <w:sz w:val="24"/>
          <w:szCs w:val="24"/>
        </w:rPr>
      </w:pPr>
    </w:p>
    <w:p w14:paraId="337CEA12" w14:textId="77777777" w:rsidR="00203D92" w:rsidRPr="00D269C7" w:rsidRDefault="00203D92" w:rsidP="00A11B69">
      <w:pPr>
        <w:spacing w:line="360" w:lineRule="auto"/>
        <w:jc w:val="both"/>
        <w:rPr>
          <w:rFonts w:ascii="Times New Roman" w:eastAsiaTheme="minorHAnsi" w:hAnsi="Times New Roman" w:cs="Times New Roman"/>
          <w:sz w:val="24"/>
          <w:szCs w:val="24"/>
        </w:rPr>
      </w:pPr>
      <w:r w:rsidRPr="00D269C7">
        <w:rPr>
          <w:rFonts w:ascii="Times New Roman" w:hAnsi="Times New Roman" w:cs="Times New Roman"/>
          <w:sz w:val="24"/>
          <w:szCs w:val="24"/>
        </w:rPr>
        <w:t xml:space="preserve">Ávila Linzán, L. (2011). Barreras ideológicas para la valoración judicial de los peritajes antropológicos. </w:t>
      </w:r>
      <w:r w:rsidRPr="00D269C7">
        <w:rPr>
          <w:rFonts w:ascii="Times New Roman" w:eastAsiaTheme="minorHAnsi" w:hAnsi="Times New Roman" w:cs="Times New Roman"/>
          <w:sz w:val="24"/>
          <w:szCs w:val="24"/>
        </w:rPr>
        <w:t>Crítica Jurídica 31, 15 – 37.</w:t>
      </w:r>
    </w:p>
    <w:p w14:paraId="5A2C9592" w14:textId="77777777" w:rsidR="00203D92" w:rsidRPr="00D269C7" w:rsidRDefault="00203D92" w:rsidP="00A11B69">
      <w:pPr>
        <w:spacing w:line="360" w:lineRule="auto"/>
        <w:jc w:val="both"/>
        <w:rPr>
          <w:rFonts w:ascii="Times New Roman" w:eastAsia="Times New Roman" w:hAnsi="Times New Roman" w:cs="Times New Roman"/>
          <w:sz w:val="24"/>
          <w:szCs w:val="24"/>
        </w:rPr>
      </w:pPr>
    </w:p>
    <w:p w14:paraId="7B72E47E" w14:textId="77777777" w:rsidR="00203D92" w:rsidRPr="00D269C7" w:rsidRDefault="00203D92" w:rsidP="00A11B69">
      <w:pPr>
        <w:spacing w:line="360" w:lineRule="auto"/>
        <w:jc w:val="both"/>
        <w:rPr>
          <w:rFonts w:ascii="Times New Roman" w:hAnsi="Times New Roman" w:cs="Times New Roman"/>
          <w:sz w:val="24"/>
          <w:szCs w:val="24"/>
        </w:rPr>
      </w:pPr>
      <w:r w:rsidRPr="00D269C7">
        <w:rPr>
          <w:rFonts w:ascii="Times New Roman" w:hAnsi="Times New Roman" w:cs="Times New Roman"/>
          <w:sz w:val="24"/>
          <w:szCs w:val="24"/>
          <w:shd w:val="clear" w:color="auto" w:fill="FFFFFF"/>
        </w:rPr>
        <w:t>Álvarez, R. (2014). El peritaje antropológico y la defensa penal de imputados indígenas en La Araucanía, 2004-2011.</w:t>
      </w:r>
      <w:r w:rsidRPr="00D269C7">
        <w:rPr>
          <w:rStyle w:val="apple-converted-space"/>
          <w:rFonts w:ascii="Times New Roman" w:hAnsi="Times New Roman" w:cs="Times New Roman"/>
          <w:sz w:val="24"/>
          <w:szCs w:val="24"/>
          <w:shd w:val="clear" w:color="auto" w:fill="FFFFFF"/>
        </w:rPr>
        <w:t xml:space="preserve"> </w:t>
      </w:r>
      <w:r w:rsidR="006A109F" w:rsidRPr="00D269C7">
        <w:rPr>
          <w:rFonts w:ascii="Times New Roman" w:hAnsi="Times New Roman" w:cs="Times New Roman"/>
          <w:iCs/>
          <w:sz w:val="24"/>
          <w:szCs w:val="24"/>
          <w:shd w:val="clear" w:color="auto" w:fill="FFFFFF"/>
        </w:rPr>
        <w:t xml:space="preserve">CUHSO </w:t>
      </w:r>
      <w:r w:rsidRPr="00D269C7">
        <w:rPr>
          <w:rFonts w:ascii="Times New Roman" w:hAnsi="Times New Roman" w:cs="Times New Roman"/>
          <w:iCs/>
          <w:sz w:val="24"/>
          <w:szCs w:val="24"/>
          <w:shd w:val="clear" w:color="auto" w:fill="FFFFFF"/>
        </w:rPr>
        <w:t>Cultura-Hombre-Sociedad</w:t>
      </w:r>
      <w:r w:rsidRPr="00D269C7">
        <w:rPr>
          <w:rFonts w:ascii="Times New Roman" w:hAnsi="Times New Roman" w:cs="Times New Roman"/>
          <w:sz w:val="24"/>
          <w:szCs w:val="24"/>
          <w:shd w:val="clear" w:color="auto" w:fill="FFFFFF"/>
        </w:rPr>
        <w:t>,</w:t>
      </w:r>
      <w:r w:rsidRPr="00D269C7">
        <w:rPr>
          <w:rStyle w:val="apple-converted-space"/>
          <w:rFonts w:ascii="Times New Roman" w:hAnsi="Times New Roman" w:cs="Times New Roman"/>
          <w:sz w:val="24"/>
          <w:szCs w:val="24"/>
          <w:shd w:val="clear" w:color="auto" w:fill="FFFFFF"/>
        </w:rPr>
        <w:t> </w:t>
      </w:r>
      <w:r w:rsidRPr="00D269C7">
        <w:rPr>
          <w:rFonts w:ascii="Times New Roman" w:hAnsi="Times New Roman" w:cs="Times New Roman"/>
          <w:iCs/>
          <w:sz w:val="24"/>
          <w:szCs w:val="24"/>
          <w:shd w:val="clear" w:color="auto" w:fill="FFFFFF"/>
        </w:rPr>
        <w:t>24</w:t>
      </w:r>
      <w:r w:rsidRPr="00D269C7">
        <w:rPr>
          <w:rFonts w:ascii="Times New Roman" w:hAnsi="Times New Roman" w:cs="Times New Roman"/>
          <w:sz w:val="24"/>
          <w:szCs w:val="24"/>
          <w:shd w:val="clear" w:color="auto" w:fill="FFFFFF"/>
        </w:rPr>
        <w:t xml:space="preserve"> (1), 81-104. </w:t>
      </w:r>
    </w:p>
    <w:p w14:paraId="01B4A98B" w14:textId="77777777" w:rsidR="00203D92" w:rsidRPr="00D269C7" w:rsidRDefault="00203D92" w:rsidP="00A11B69">
      <w:pPr>
        <w:spacing w:line="360" w:lineRule="auto"/>
        <w:jc w:val="both"/>
        <w:rPr>
          <w:rFonts w:ascii="Times New Roman" w:eastAsia="Times New Roman" w:hAnsi="Times New Roman" w:cs="Times New Roman"/>
          <w:sz w:val="24"/>
          <w:szCs w:val="24"/>
        </w:rPr>
      </w:pPr>
    </w:p>
    <w:p w14:paraId="0AD8DF0A" w14:textId="77777777" w:rsidR="00203D92" w:rsidRPr="00D269C7" w:rsidRDefault="00203D92" w:rsidP="00A11B69">
      <w:pPr>
        <w:spacing w:line="360" w:lineRule="auto"/>
        <w:jc w:val="both"/>
        <w:rPr>
          <w:rFonts w:ascii="Times New Roman" w:eastAsia="Times New Roman" w:hAnsi="Times New Roman" w:cs="Times New Roman"/>
          <w:bCs/>
          <w:sz w:val="24"/>
          <w:szCs w:val="24"/>
        </w:rPr>
      </w:pPr>
      <w:r w:rsidRPr="00D269C7">
        <w:rPr>
          <w:rFonts w:ascii="Times New Roman" w:eastAsia="Times New Roman" w:hAnsi="Times New Roman" w:cs="Times New Roman"/>
          <w:sz w:val="24"/>
          <w:szCs w:val="24"/>
        </w:rPr>
        <w:t xml:space="preserve">Defensoría Penal Pública (2012). Modelo de defensa penal indígena. Documentos Oficiales N° 7, octubre. </w:t>
      </w:r>
      <w:r w:rsidRPr="00D269C7">
        <w:rPr>
          <w:rFonts w:ascii="Times New Roman" w:eastAsia="Times New Roman" w:hAnsi="Times New Roman" w:cs="Times New Roman"/>
          <w:bCs/>
          <w:sz w:val="24"/>
          <w:szCs w:val="24"/>
        </w:rPr>
        <w:t>Centro de Documentación Defensoría Penal Pública. Santiago: Defensoría Nacional.</w:t>
      </w:r>
    </w:p>
    <w:p w14:paraId="3CF13630" w14:textId="77777777" w:rsidR="00821786" w:rsidRPr="00D269C7" w:rsidRDefault="00821786" w:rsidP="00A11B69">
      <w:pPr>
        <w:spacing w:line="360" w:lineRule="auto"/>
        <w:jc w:val="both"/>
        <w:rPr>
          <w:rFonts w:ascii="Times New Roman" w:eastAsia="Times New Roman" w:hAnsi="Times New Roman" w:cs="Times New Roman"/>
          <w:bCs/>
          <w:sz w:val="24"/>
          <w:szCs w:val="24"/>
        </w:rPr>
      </w:pPr>
    </w:p>
    <w:p w14:paraId="0CB898B6" w14:textId="77777777" w:rsidR="006A109F" w:rsidRPr="00D269C7" w:rsidRDefault="006A109F" w:rsidP="00A11B69">
      <w:pPr>
        <w:spacing w:line="360" w:lineRule="auto"/>
        <w:jc w:val="both"/>
        <w:rPr>
          <w:rFonts w:ascii="Times New Roman" w:eastAsia="Times New Roman" w:hAnsi="Times New Roman" w:cs="Times New Roman"/>
          <w:bCs/>
          <w:sz w:val="24"/>
          <w:szCs w:val="24"/>
        </w:rPr>
      </w:pPr>
      <w:r w:rsidRPr="00D269C7">
        <w:rPr>
          <w:rFonts w:ascii="Times New Roman" w:eastAsia="Times New Roman" w:hAnsi="Times New Roman" w:cs="Times New Roman"/>
          <w:bCs/>
          <w:sz w:val="24"/>
          <w:szCs w:val="24"/>
        </w:rPr>
        <w:t>Duce, M. (2013). La prueba pericial. Buenos Aires: Ediciones Didot.</w:t>
      </w:r>
    </w:p>
    <w:p w14:paraId="20C73B09" w14:textId="77777777" w:rsidR="006A109F" w:rsidRPr="00D269C7" w:rsidRDefault="006A109F" w:rsidP="00A11B69">
      <w:pPr>
        <w:spacing w:line="360" w:lineRule="auto"/>
        <w:jc w:val="both"/>
        <w:rPr>
          <w:rFonts w:ascii="Times New Roman" w:eastAsia="Times New Roman" w:hAnsi="Times New Roman" w:cs="Times New Roman"/>
          <w:bCs/>
          <w:sz w:val="24"/>
          <w:szCs w:val="24"/>
        </w:rPr>
      </w:pPr>
    </w:p>
    <w:p w14:paraId="16309599" w14:textId="77777777" w:rsidR="00821786" w:rsidRPr="00D269C7" w:rsidRDefault="00821786" w:rsidP="00A11B69">
      <w:pPr>
        <w:spacing w:line="360" w:lineRule="auto"/>
        <w:jc w:val="both"/>
        <w:rPr>
          <w:rFonts w:ascii="Times New Roman" w:eastAsia="Times New Roman" w:hAnsi="Times New Roman" w:cs="Times New Roman"/>
          <w:bCs/>
          <w:sz w:val="24"/>
          <w:szCs w:val="24"/>
        </w:rPr>
      </w:pPr>
      <w:r w:rsidRPr="00D269C7">
        <w:rPr>
          <w:rFonts w:ascii="Times New Roman" w:eastAsia="Times New Roman" w:hAnsi="Times New Roman" w:cs="Times New Roman"/>
          <w:bCs/>
          <w:sz w:val="24"/>
          <w:szCs w:val="24"/>
        </w:rPr>
        <w:t xml:space="preserve">Durán, T. (2002). Antropología interactiva: un estilo de antropología aplicada en </w:t>
      </w:r>
      <w:r w:rsidR="006A109F" w:rsidRPr="00D269C7">
        <w:rPr>
          <w:rFonts w:ascii="Times New Roman" w:eastAsia="Times New Roman" w:hAnsi="Times New Roman" w:cs="Times New Roman"/>
          <w:bCs/>
          <w:sz w:val="24"/>
          <w:szCs w:val="24"/>
        </w:rPr>
        <w:t>la IX región de La Araucanía. Chile. CUHSO Cultura-Hombre-Sociedad, 6 (1), 23-57.</w:t>
      </w:r>
    </w:p>
    <w:p w14:paraId="60E7D370" w14:textId="77777777" w:rsidR="006A109F" w:rsidRPr="00D269C7" w:rsidRDefault="006A109F" w:rsidP="00A11B69">
      <w:pPr>
        <w:spacing w:line="360" w:lineRule="auto"/>
        <w:jc w:val="both"/>
        <w:rPr>
          <w:rFonts w:ascii="Times New Roman" w:eastAsia="Times New Roman" w:hAnsi="Times New Roman" w:cs="Times New Roman"/>
          <w:bCs/>
          <w:sz w:val="24"/>
          <w:szCs w:val="24"/>
        </w:rPr>
      </w:pPr>
    </w:p>
    <w:p w14:paraId="38A76D1E" w14:textId="77777777" w:rsidR="006A109F" w:rsidRPr="00D269C7" w:rsidRDefault="006A109F" w:rsidP="00A11B69">
      <w:pPr>
        <w:spacing w:line="360" w:lineRule="auto"/>
        <w:jc w:val="both"/>
        <w:rPr>
          <w:rFonts w:ascii="Times New Roman" w:eastAsia="Times New Roman" w:hAnsi="Times New Roman" w:cs="Times New Roman"/>
          <w:bCs/>
          <w:sz w:val="24"/>
          <w:szCs w:val="24"/>
        </w:rPr>
      </w:pPr>
      <w:r w:rsidRPr="00D269C7">
        <w:rPr>
          <w:rFonts w:ascii="Times New Roman" w:eastAsia="Times New Roman" w:hAnsi="Times New Roman" w:cs="Times New Roman"/>
          <w:bCs/>
          <w:sz w:val="24"/>
          <w:szCs w:val="24"/>
        </w:rPr>
        <w:t>Durán, T., Berho, M., Carrasco, N. &amp; Mora, H. (2014). Antropología desde el sur. Obras escogidas de Teresa Durán. Temuco: Ediciones Universidad Católica de Temuco.</w:t>
      </w:r>
    </w:p>
    <w:p w14:paraId="0A11F44A" w14:textId="77777777" w:rsidR="006A109F" w:rsidRPr="00D269C7" w:rsidRDefault="006A109F" w:rsidP="00A11B69">
      <w:pPr>
        <w:spacing w:line="360" w:lineRule="auto"/>
        <w:jc w:val="both"/>
        <w:rPr>
          <w:rFonts w:ascii="Times New Roman" w:eastAsia="Times New Roman" w:hAnsi="Times New Roman" w:cs="Times New Roman"/>
          <w:bCs/>
          <w:sz w:val="24"/>
          <w:szCs w:val="24"/>
        </w:rPr>
      </w:pPr>
    </w:p>
    <w:p w14:paraId="6DD56CEF" w14:textId="77777777" w:rsidR="002F1D3F" w:rsidRPr="00D269C7" w:rsidRDefault="002F1D3F" w:rsidP="00A11B69">
      <w:pPr>
        <w:spacing w:line="360" w:lineRule="auto"/>
        <w:jc w:val="both"/>
        <w:rPr>
          <w:rFonts w:ascii="Times New Roman" w:hAnsi="Times New Roman" w:cs="Times New Roman"/>
          <w:sz w:val="24"/>
          <w:szCs w:val="24"/>
        </w:rPr>
      </w:pPr>
      <w:r w:rsidRPr="00D269C7">
        <w:rPr>
          <w:rFonts w:ascii="Times New Roman" w:hAnsi="Times New Roman" w:cs="Times New Roman"/>
          <w:sz w:val="24"/>
          <w:szCs w:val="24"/>
        </w:rPr>
        <w:t>Ferrer, J. (2007</w:t>
      </w:r>
      <w:r w:rsidRPr="00D269C7">
        <w:rPr>
          <w:rFonts w:ascii="Times New Roman" w:hAnsi="Times New Roman" w:cs="Times New Roman"/>
          <w:i/>
          <w:sz w:val="24"/>
          <w:szCs w:val="24"/>
        </w:rPr>
        <w:t>). La valoración racional de la prueba.</w:t>
      </w:r>
      <w:r w:rsidRPr="00D269C7">
        <w:rPr>
          <w:rFonts w:ascii="Times New Roman" w:hAnsi="Times New Roman" w:cs="Times New Roman"/>
          <w:sz w:val="24"/>
          <w:szCs w:val="24"/>
        </w:rPr>
        <w:t xml:space="preserve"> Madrid: Marcial Pons. Ediciones Jurídicas y sociales, S.A.</w:t>
      </w:r>
    </w:p>
    <w:p w14:paraId="2FC0F38D" w14:textId="77777777" w:rsidR="002F1D3F" w:rsidRPr="00D269C7" w:rsidRDefault="002F1D3F" w:rsidP="00A11B69">
      <w:pPr>
        <w:spacing w:line="360" w:lineRule="auto"/>
        <w:jc w:val="both"/>
        <w:rPr>
          <w:rFonts w:ascii="Times New Roman" w:eastAsiaTheme="minorHAnsi" w:hAnsi="Times New Roman" w:cs="Times New Roman"/>
          <w:bCs/>
          <w:sz w:val="24"/>
          <w:szCs w:val="24"/>
        </w:rPr>
      </w:pPr>
    </w:p>
    <w:p w14:paraId="184C4343" w14:textId="77777777" w:rsidR="002F1D3F" w:rsidRPr="00D269C7" w:rsidRDefault="002F1D3F" w:rsidP="00A11B69">
      <w:pPr>
        <w:pStyle w:val="Default"/>
        <w:spacing w:line="360" w:lineRule="auto"/>
        <w:jc w:val="both"/>
        <w:rPr>
          <w:rFonts w:ascii="Times New Roman" w:hAnsi="Times New Roman" w:cs="Times New Roman"/>
        </w:rPr>
      </w:pPr>
      <w:r w:rsidRPr="00D269C7">
        <w:rPr>
          <w:rFonts w:ascii="Times New Roman" w:hAnsi="Times New Roman" w:cs="Times New Roman"/>
        </w:rPr>
        <w:lastRenderedPageBreak/>
        <w:t xml:space="preserve">Hoekema, A. (2002). Hacia un pluralismo jurídico formal de tipo igualitario. </w:t>
      </w:r>
      <w:r w:rsidRPr="00D269C7">
        <w:rPr>
          <w:rFonts w:ascii="Times New Roman" w:hAnsi="Times New Roman" w:cs="Times New Roman"/>
          <w:i/>
        </w:rPr>
        <w:t>El otro derecho</w:t>
      </w:r>
      <w:r w:rsidRPr="00D269C7">
        <w:rPr>
          <w:rFonts w:ascii="Times New Roman" w:hAnsi="Times New Roman" w:cs="Times New Roman"/>
        </w:rPr>
        <w:t xml:space="preserve">, 26-27 (abril), 63-98. </w:t>
      </w:r>
    </w:p>
    <w:p w14:paraId="40BD2F6A" w14:textId="77777777" w:rsidR="006A109F" w:rsidRPr="00D269C7" w:rsidRDefault="006A109F" w:rsidP="00A11B69">
      <w:pPr>
        <w:spacing w:line="360" w:lineRule="auto"/>
        <w:jc w:val="both"/>
        <w:rPr>
          <w:rFonts w:ascii="Times New Roman" w:eastAsiaTheme="minorHAnsi" w:hAnsi="Times New Roman" w:cs="Times New Roman"/>
          <w:bCs/>
          <w:sz w:val="24"/>
          <w:szCs w:val="24"/>
        </w:rPr>
      </w:pPr>
    </w:p>
    <w:p w14:paraId="34D0D9B0" w14:textId="77777777" w:rsidR="006A109F" w:rsidRPr="00D269C7" w:rsidRDefault="006A109F" w:rsidP="00A11B69">
      <w:pPr>
        <w:spacing w:line="360" w:lineRule="auto"/>
        <w:jc w:val="both"/>
        <w:rPr>
          <w:rStyle w:val="Hyperlink"/>
        </w:rPr>
      </w:pPr>
      <w:r w:rsidRPr="00D269C7">
        <w:rPr>
          <w:rFonts w:ascii="Times New Roman" w:eastAsiaTheme="minorHAnsi" w:hAnsi="Times New Roman" w:cs="Times New Roman"/>
          <w:bCs/>
          <w:sz w:val="24"/>
          <w:szCs w:val="24"/>
        </w:rPr>
        <w:t xml:space="preserve">Lillo, R. (2010). </w:t>
      </w:r>
      <w:r w:rsidRPr="00D269C7">
        <w:rPr>
          <w:rFonts w:ascii="Times New Roman" w:hAnsi="Times New Roman" w:cs="Times New Roman"/>
          <w:sz w:val="24"/>
          <w:szCs w:val="24"/>
        </w:rPr>
        <w:t xml:space="preserve">El Convenio 169 de la OIT y la defensa penal de indígenas. </w:t>
      </w:r>
      <w:r w:rsidRPr="00D269C7">
        <w:rPr>
          <w:rFonts w:ascii="Times New Roman" w:hAnsi="Times New Roman" w:cs="Times New Roman"/>
          <w:i/>
          <w:sz w:val="24"/>
          <w:szCs w:val="24"/>
        </w:rPr>
        <w:t>Defensorías Regionales</w:t>
      </w:r>
      <w:r w:rsidRPr="00D269C7">
        <w:rPr>
          <w:rFonts w:ascii="Times New Roman" w:hAnsi="Times New Roman" w:cs="Times New Roman"/>
          <w:sz w:val="24"/>
          <w:szCs w:val="24"/>
        </w:rPr>
        <w:t xml:space="preserve">. Recuperado de </w:t>
      </w:r>
      <w:r w:rsidR="001B12F7">
        <w:fldChar w:fldCharType="begin"/>
      </w:r>
      <w:r w:rsidR="001B12F7">
        <w:instrText>HYPERLINK "http://www.dpp.cl/resources/upload/093e523d3fa9fe3d8745793ada63a58b.pdf" \t "_parent"</w:instrText>
      </w:r>
      <w:r w:rsidR="001B12F7">
        <w:fldChar w:fldCharType="separate"/>
      </w:r>
      <w:r w:rsidRPr="00D269C7">
        <w:rPr>
          <w:rStyle w:val="Hyperlink"/>
          <w:rFonts w:ascii="Times New Roman" w:hAnsi="Times New Roman" w:cs="Times New Roman"/>
          <w:color w:val="auto"/>
          <w:sz w:val="24"/>
          <w:szCs w:val="24"/>
          <w:u w:val="none"/>
        </w:rPr>
        <w:t>http://www.dpp.cl/resources/upload/093e523d3fa9fe3d8745793ada63a58b.pdf</w:t>
      </w:r>
      <w:r w:rsidR="001B12F7">
        <w:fldChar w:fldCharType="end"/>
      </w:r>
    </w:p>
    <w:p w14:paraId="4B3C0928" w14:textId="77777777" w:rsidR="006A109F" w:rsidRPr="00D269C7" w:rsidRDefault="006A109F" w:rsidP="00A11B69">
      <w:pPr>
        <w:spacing w:line="360" w:lineRule="auto"/>
        <w:jc w:val="both"/>
        <w:rPr>
          <w:rStyle w:val="Hyperlink"/>
        </w:rPr>
      </w:pPr>
    </w:p>
    <w:p w14:paraId="593823AA" w14:textId="77777777" w:rsidR="006A109F" w:rsidRPr="00D269C7" w:rsidRDefault="006A109F" w:rsidP="00A11B69">
      <w:pPr>
        <w:spacing w:line="360" w:lineRule="auto"/>
        <w:jc w:val="both"/>
        <w:rPr>
          <w:rFonts w:ascii="Times New Roman" w:eastAsiaTheme="minorHAnsi" w:hAnsi="Times New Roman" w:cs="Times New Roman"/>
          <w:bCs/>
          <w:sz w:val="24"/>
          <w:szCs w:val="24"/>
        </w:rPr>
      </w:pPr>
      <w:r w:rsidRPr="00D269C7">
        <w:rPr>
          <w:rFonts w:ascii="Times New Roman" w:eastAsia="Times New Roman" w:hAnsi="Times New Roman" w:cs="Times New Roman"/>
          <w:bCs/>
          <w:sz w:val="24"/>
          <w:szCs w:val="24"/>
          <w:lang w:val="es-CL"/>
        </w:rPr>
        <w:t xml:space="preserve">Rodríguez, N. (2012) </w:t>
      </w:r>
      <w:r w:rsidRPr="00D269C7">
        <w:rPr>
          <w:rFonts w:ascii="Times New Roman" w:hAnsi="Times New Roman" w:cs="Times New Roman"/>
          <w:sz w:val="24"/>
          <w:szCs w:val="24"/>
          <w:lang w:val="es-CL"/>
        </w:rPr>
        <w:t xml:space="preserve">Peritaje antropológico en Chile. Recuperado de </w:t>
      </w:r>
      <w:r w:rsidR="001B12F7">
        <w:fldChar w:fldCharType="begin"/>
      </w:r>
      <w:r w:rsidR="001B12F7">
        <w:instrText>HYPERLINK "http://es.scribd.com/doc/94351684/Peritaje-antropologico" \l "scribd" \t "_parent"</w:instrText>
      </w:r>
      <w:r w:rsidR="001B12F7">
        <w:fldChar w:fldCharType="separate"/>
      </w:r>
      <w:r w:rsidRPr="00D269C7">
        <w:rPr>
          <w:rStyle w:val="Hyperlink"/>
          <w:rFonts w:ascii="Times New Roman" w:hAnsi="Times New Roman" w:cs="Times New Roman"/>
          <w:color w:val="auto"/>
          <w:sz w:val="24"/>
          <w:szCs w:val="24"/>
          <w:u w:val="none"/>
        </w:rPr>
        <w:t>http://es.scribd.com/doc/94351684/Peritaje-antropologico#scribd</w:t>
      </w:r>
      <w:r w:rsidR="001B12F7">
        <w:fldChar w:fldCharType="end"/>
      </w:r>
    </w:p>
    <w:p w14:paraId="59BD0C52" w14:textId="77777777" w:rsidR="006A109F" w:rsidRPr="00D269C7" w:rsidRDefault="006A109F" w:rsidP="00A11B69">
      <w:pPr>
        <w:spacing w:line="360" w:lineRule="auto"/>
        <w:jc w:val="both"/>
        <w:rPr>
          <w:rFonts w:ascii="Times New Roman" w:eastAsia="Times New Roman" w:hAnsi="Times New Roman" w:cs="Times New Roman"/>
          <w:bCs/>
          <w:sz w:val="24"/>
          <w:szCs w:val="24"/>
        </w:rPr>
      </w:pPr>
    </w:p>
    <w:p w14:paraId="448E7E48" w14:textId="77777777" w:rsidR="006A109F" w:rsidRPr="00D269C7" w:rsidRDefault="006A109F" w:rsidP="00A11B69">
      <w:pPr>
        <w:spacing w:line="360" w:lineRule="auto"/>
        <w:jc w:val="both"/>
        <w:rPr>
          <w:rFonts w:ascii="Times New Roman" w:eastAsia="Times New Roman" w:hAnsi="Times New Roman" w:cs="Times New Roman"/>
          <w:bCs/>
          <w:sz w:val="24"/>
          <w:szCs w:val="24"/>
        </w:rPr>
      </w:pPr>
      <w:r w:rsidRPr="00D269C7">
        <w:rPr>
          <w:rFonts w:ascii="Times New Roman" w:eastAsia="Times New Roman" w:hAnsi="Times New Roman" w:cs="Times New Roman"/>
          <w:bCs/>
          <w:sz w:val="24"/>
          <w:szCs w:val="24"/>
        </w:rPr>
        <w:t>Sánchez Botero, E. (2010). Peritaje antropológico. La justicia en clave cultural. Bogotá: GTZ.</w:t>
      </w:r>
    </w:p>
    <w:p w14:paraId="298F577D" w14:textId="77777777" w:rsidR="006A109F" w:rsidRPr="00D269C7" w:rsidRDefault="006A109F" w:rsidP="00A11B69">
      <w:pPr>
        <w:spacing w:line="360" w:lineRule="auto"/>
        <w:jc w:val="both"/>
        <w:rPr>
          <w:rFonts w:ascii="Times New Roman" w:eastAsia="Times New Roman" w:hAnsi="Times New Roman" w:cs="Times New Roman"/>
          <w:bCs/>
          <w:sz w:val="24"/>
          <w:szCs w:val="24"/>
        </w:rPr>
      </w:pPr>
    </w:p>
    <w:p w14:paraId="7B1C2D40" w14:textId="77777777" w:rsidR="006A109F" w:rsidRPr="00D269C7" w:rsidRDefault="006A109F" w:rsidP="00A11B69">
      <w:pPr>
        <w:spacing w:line="360" w:lineRule="auto"/>
        <w:jc w:val="both"/>
        <w:rPr>
          <w:rFonts w:ascii="Times New Roman" w:eastAsia="Times New Roman" w:hAnsi="Times New Roman" w:cs="Times New Roman"/>
          <w:bCs/>
          <w:sz w:val="24"/>
          <w:szCs w:val="24"/>
        </w:rPr>
      </w:pPr>
      <w:r w:rsidRPr="00D269C7">
        <w:rPr>
          <w:rFonts w:ascii="Times New Roman" w:hAnsi="Times New Roman" w:cs="Times New Roman"/>
          <w:sz w:val="24"/>
          <w:szCs w:val="24"/>
        </w:rPr>
        <w:t xml:space="preserve">Taruffo, M. (2008). La prueba. </w:t>
      </w:r>
      <w:r w:rsidR="002F1D3F" w:rsidRPr="00D269C7">
        <w:rPr>
          <w:rFonts w:ascii="Times New Roman" w:hAnsi="Times New Roman" w:cs="Times New Roman"/>
          <w:sz w:val="24"/>
          <w:szCs w:val="24"/>
        </w:rPr>
        <w:t xml:space="preserve">Madrid: </w:t>
      </w:r>
      <w:r w:rsidRPr="00D269C7">
        <w:rPr>
          <w:rFonts w:ascii="Times New Roman" w:hAnsi="Times New Roman" w:cs="Times New Roman"/>
          <w:sz w:val="24"/>
          <w:szCs w:val="24"/>
        </w:rPr>
        <w:t>Marcial Pons.</w:t>
      </w:r>
      <w:r w:rsidR="002F1D3F" w:rsidRPr="00D269C7">
        <w:rPr>
          <w:rFonts w:ascii="Times New Roman" w:hAnsi="Times New Roman" w:cs="Times New Roman"/>
          <w:sz w:val="24"/>
          <w:szCs w:val="24"/>
        </w:rPr>
        <w:t xml:space="preserve"> Ediciones Jurídicas y sociales</w:t>
      </w:r>
      <w:r w:rsidRPr="00D269C7">
        <w:rPr>
          <w:rFonts w:ascii="Times New Roman" w:hAnsi="Times New Roman" w:cs="Times New Roman"/>
          <w:sz w:val="24"/>
          <w:szCs w:val="24"/>
        </w:rPr>
        <w:t xml:space="preserve"> S.A.</w:t>
      </w:r>
    </w:p>
    <w:p w14:paraId="0300DE19" w14:textId="77777777" w:rsidR="008D7FA6" w:rsidRPr="00D269C7" w:rsidRDefault="008D7FA6" w:rsidP="00A11B69">
      <w:pPr>
        <w:spacing w:line="360" w:lineRule="auto"/>
        <w:jc w:val="both"/>
        <w:rPr>
          <w:rFonts w:ascii="Times New Roman" w:eastAsia="Times New Roman" w:hAnsi="Times New Roman" w:cs="Times New Roman"/>
          <w:sz w:val="24"/>
          <w:szCs w:val="24"/>
        </w:rPr>
      </w:pPr>
    </w:p>
    <w:p w14:paraId="535523A5" w14:textId="77777777" w:rsidR="002F1D3F" w:rsidRPr="00D269C7" w:rsidRDefault="002F1D3F" w:rsidP="00A11B69">
      <w:pPr>
        <w:spacing w:line="360" w:lineRule="auto"/>
        <w:jc w:val="both"/>
        <w:rPr>
          <w:rFonts w:ascii="Times New Roman" w:eastAsia="Times New Roman" w:hAnsi="Times New Roman" w:cs="Times New Roman"/>
          <w:sz w:val="24"/>
          <w:szCs w:val="24"/>
        </w:rPr>
      </w:pPr>
      <w:r w:rsidRPr="00D269C7">
        <w:rPr>
          <w:rFonts w:ascii="Times New Roman" w:eastAsia="Times New Roman" w:hAnsi="Times New Roman" w:cs="Times New Roman"/>
          <w:sz w:val="24"/>
          <w:szCs w:val="24"/>
        </w:rPr>
        <w:t>Zaffaroni, E.R., Alagia, A. &amp; Slokar, A. (2002). Derecho penal. Parte general. Buenos Aires: Editorial Ediar.</w:t>
      </w:r>
    </w:p>
    <w:p w14:paraId="0445647D" w14:textId="77777777" w:rsidR="008D7FA6" w:rsidRPr="00D269C7" w:rsidRDefault="008D7FA6" w:rsidP="00A11B69">
      <w:pPr>
        <w:spacing w:line="360" w:lineRule="auto"/>
        <w:jc w:val="both"/>
        <w:rPr>
          <w:rFonts w:ascii="Times New Roman" w:eastAsia="Times New Roman" w:hAnsi="Times New Roman" w:cs="Times New Roman"/>
          <w:color w:val="4B4F56"/>
          <w:sz w:val="24"/>
          <w:szCs w:val="24"/>
          <w:shd w:val="clear" w:color="auto" w:fill="F1F0F0"/>
        </w:rPr>
      </w:pPr>
    </w:p>
    <w:p w14:paraId="752CB6F8" w14:textId="77777777" w:rsidR="00203D92" w:rsidRPr="00D269C7" w:rsidRDefault="00203D92" w:rsidP="00A11B69">
      <w:pPr>
        <w:spacing w:line="360" w:lineRule="auto"/>
        <w:jc w:val="both"/>
        <w:rPr>
          <w:rFonts w:ascii="Times New Roman" w:eastAsia="Times New Roman" w:hAnsi="Times New Roman" w:cs="Times New Roman"/>
          <w:color w:val="auto"/>
          <w:sz w:val="24"/>
          <w:szCs w:val="24"/>
        </w:rPr>
      </w:pPr>
    </w:p>
    <w:sectPr w:rsidR="00203D92" w:rsidRPr="00D269C7" w:rsidSect="001632B7">
      <w:pgSz w:w="11909" w:h="16834" w:code="9"/>
      <w:pgMar w:top="1418" w:right="1418" w:bottom="1418" w:left="1418" w:header="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DD73C" w14:textId="77777777" w:rsidR="006757E4" w:rsidRDefault="006757E4" w:rsidP="00D269C7">
      <w:pPr>
        <w:spacing w:line="240" w:lineRule="auto"/>
      </w:pPr>
      <w:r>
        <w:separator/>
      </w:r>
    </w:p>
  </w:endnote>
  <w:endnote w:type="continuationSeparator" w:id="0">
    <w:p w14:paraId="3CEA1329" w14:textId="77777777" w:rsidR="006757E4" w:rsidRDefault="006757E4" w:rsidP="00D269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444B3" w14:textId="77777777" w:rsidR="006757E4" w:rsidRDefault="006757E4" w:rsidP="00D269C7">
      <w:pPr>
        <w:spacing w:line="240" w:lineRule="auto"/>
      </w:pPr>
      <w:r>
        <w:separator/>
      </w:r>
    </w:p>
  </w:footnote>
  <w:footnote w:type="continuationSeparator" w:id="0">
    <w:p w14:paraId="510471AA" w14:textId="77777777" w:rsidR="006757E4" w:rsidRDefault="006757E4" w:rsidP="00D269C7">
      <w:pPr>
        <w:spacing w:line="240" w:lineRule="auto"/>
      </w:pPr>
      <w:r>
        <w:continuationSeparator/>
      </w:r>
    </w:p>
  </w:footnote>
  <w:footnote w:id="1">
    <w:p w14:paraId="243D50C4" w14:textId="77777777" w:rsidR="00D269C7" w:rsidRPr="00D269C7" w:rsidRDefault="00D269C7" w:rsidP="00D269C7">
      <w:pPr>
        <w:spacing w:line="240" w:lineRule="auto"/>
        <w:jc w:val="both"/>
        <w:rPr>
          <w:rFonts w:ascii="Times New Roman" w:eastAsia="Times New Roman" w:hAnsi="Times New Roman" w:cs="Times New Roman"/>
          <w:sz w:val="20"/>
          <w:szCs w:val="20"/>
        </w:rPr>
      </w:pPr>
      <w:r w:rsidRPr="00D269C7">
        <w:rPr>
          <w:rStyle w:val="FootnoteReference"/>
          <w:sz w:val="20"/>
          <w:szCs w:val="20"/>
        </w:rPr>
        <w:footnoteRef/>
      </w:r>
      <w:r w:rsidRPr="00D269C7">
        <w:rPr>
          <w:sz w:val="20"/>
          <w:szCs w:val="20"/>
        </w:rPr>
        <w:t xml:space="preserve"> </w:t>
      </w:r>
      <w:r>
        <w:rPr>
          <w:rFonts w:ascii="Times New Roman" w:eastAsia="Times New Roman" w:hAnsi="Times New Roman" w:cs="Times New Roman"/>
          <w:sz w:val="20"/>
          <w:szCs w:val="20"/>
        </w:rPr>
        <w:t>El</w:t>
      </w:r>
      <w:r w:rsidRPr="00D269C7">
        <w:rPr>
          <w:rFonts w:ascii="Times New Roman" w:eastAsia="Times New Roman" w:hAnsi="Times New Roman" w:cs="Times New Roman"/>
          <w:sz w:val="20"/>
          <w:szCs w:val="20"/>
        </w:rPr>
        <w:t xml:space="preserve"> proyecto </w:t>
      </w:r>
      <w:r>
        <w:rPr>
          <w:rFonts w:ascii="Times New Roman" w:eastAsia="Times New Roman" w:hAnsi="Times New Roman" w:cs="Times New Roman"/>
          <w:sz w:val="20"/>
          <w:szCs w:val="20"/>
        </w:rPr>
        <w:t>se desarrolló</w:t>
      </w:r>
      <w:r w:rsidRPr="00D269C7">
        <w:rPr>
          <w:rFonts w:ascii="Times New Roman" w:eastAsia="Times New Roman" w:hAnsi="Times New Roman" w:cs="Times New Roman"/>
          <w:sz w:val="20"/>
          <w:szCs w:val="20"/>
        </w:rPr>
        <w:t xml:space="preserve"> gracias al apoyo de la Comisión Nacional Científica y Tecnológica (Conicyt) a través del Concurso Fondef IDeA del año 2014, y contó con la participación de diferentes académic</w:t>
      </w:r>
      <w:r>
        <w:rPr>
          <w:rFonts w:ascii="Times New Roman" w:eastAsia="Times New Roman" w:hAnsi="Times New Roman" w:cs="Times New Roman"/>
          <w:sz w:val="20"/>
          <w:szCs w:val="20"/>
        </w:rPr>
        <w:t>o</w:t>
      </w:r>
      <w:r w:rsidRPr="00D269C7">
        <w:rPr>
          <w:rFonts w:ascii="Times New Roman" w:eastAsia="Times New Roman" w:hAnsi="Times New Roman" w:cs="Times New Roman"/>
          <w:sz w:val="20"/>
          <w:szCs w:val="20"/>
        </w:rPr>
        <w:t>s de la Universidad Católica de Temuco</w:t>
      </w:r>
      <w:r>
        <w:rPr>
          <w:rFonts w:ascii="Times New Roman" w:eastAsia="Times New Roman" w:hAnsi="Times New Roman" w:cs="Times New Roman"/>
          <w:sz w:val="20"/>
          <w:szCs w:val="20"/>
        </w:rPr>
        <w:t xml:space="preserve"> y externos</w:t>
      </w:r>
      <w:r w:rsidRPr="00D269C7">
        <w:rPr>
          <w:rFonts w:ascii="Times New Roman" w:eastAsia="Times New Roman" w:hAnsi="Times New Roman" w:cs="Times New Roman"/>
          <w:sz w:val="20"/>
          <w:szCs w:val="20"/>
        </w:rPr>
        <w:t>.</w:t>
      </w:r>
    </w:p>
    <w:p w14:paraId="5F503230" w14:textId="77777777" w:rsidR="00D269C7" w:rsidRPr="00D269C7" w:rsidRDefault="00D269C7">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84E26"/>
    <w:multiLevelType w:val="multilevel"/>
    <w:tmpl w:val="8F681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A125A5C"/>
    <w:multiLevelType w:val="hybridMultilevel"/>
    <w:tmpl w:val="8216E4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581B51DC"/>
    <w:multiLevelType w:val="multilevel"/>
    <w:tmpl w:val="430214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6C000F2A"/>
    <w:multiLevelType w:val="multilevel"/>
    <w:tmpl w:val="EAC4F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oNotTrackMov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D7FA6"/>
    <w:rsid w:val="00055931"/>
    <w:rsid w:val="00086D56"/>
    <w:rsid w:val="001632B7"/>
    <w:rsid w:val="001B12F7"/>
    <w:rsid w:val="00203D92"/>
    <w:rsid w:val="00216292"/>
    <w:rsid w:val="00227360"/>
    <w:rsid w:val="002C15A1"/>
    <w:rsid w:val="002F1D3F"/>
    <w:rsid w:val="00345A37"/>
    <w:rsid w:val="003523C4"/>
    <w:rsid w:val="00392C25"/>
    <w:rsid w:val="00482EB7"/>
    <w:rsid w:val="006757E4"/>
    <w:rsid w:val="006A109F"/>
    <w:rsid w:val="007D3C66"/>
    <w:rsid w:val="00821786"/>
    <w:rsid w:val="008D7FA6"/>
    <w:rsid w:val="00A11B69"/>
    <w:rsid w:val="00D269C7"/>
  </w:rsids>
  <m:mathPr>
    <m:mathFont m:val="Cambria Math"/>
    <m:brkBin m:val="before"/>
    <m:brkBinSub m:val="--"/>
    <m:smallFrac/>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F4B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AR" w:eastAsia="es-CL"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B12F7"/>
  </w:style>
  <w:style w:type="paragraph" w:styleId="Heading1">
    <w:name w:val="heading 1"/>
    <w:basedOn w:val="Normal"/>
    <w:next w:val="Normal"/>
    <w:rsid w:val="001B12F7"/>
    <w:pPr>
      <w:keepNext/>
      <w:keepLines/>
      <w:spacing w:before="400" w:after="120"/>
      <w:outlineLvl w:val="0"/>
    </w:pPr>
    <w:rPr>
      <w:sz w:val="40"/>
      <w:szCs w:val="40"/>
    </w:rPr>
  </w:style>
  <w:style w:type="paragraph" w:styleId="Heading2">
    <w:name w:val="heading 2"/>
    <w:basedOn w:val="Normal"/>
    <w:next w:val="Normal"/>
    <w:rsid w:val="001B12F7"/>
    <w:pPr>
      <w:keepNext/>
      <w:keepLines/>
      <w:spacing w:before="360" w:after="120"/>
      <w:outlineLvl w:val="1"/>
    </w:pPr>
    <w:rPr>
      <w:sz w:val="32"/>
      <w:szCs w:val="32"/>
    </w:rPr>
  </w:style>
  <w:style w:type="paragraph" w:styleId="Heading3">
    <w:name w:val="heading 3"/>
    <w:basedOn w:val="Normal"/>
    <w:next w:val="Normal"/>
    <w:rsid w:val="001B12F7"/>
    <w:pPr>
      <w:keepNext/>
      <w:keepLines/>
      <w:spacing w:before="320" w:after="80"/>
      <w:outlineLvl w:val="2"/>
    </w:pPr>
    <w:rPr>
      <w:color w:val="434343"/>
      <w:sz w:val="28"/>
      <w:szCs w:val="28"/>
    </w:rPr>
  </w:style>
  <w:style w:type="paragraph" w:styleId="Heading4">
    <w:name w:val="heading 4"/>
    <w:basedOn w:val="Normal"/>
    <w:next w:val="Normal"/>
    <w:rsid w:val="001B12F7"/>
    <w:pPr>
      <w:keepNext/>
      <w:keepLines/>
      <w:spacing w:before="280" w:after="80"/>
      <w:outlineLvl w:val="3"/>
    </w:pPr>
    <w:rPr>
      <w:color w:val="666666"/>
      <w:sz w:val="24"/>
      <w:szCs w:val="24"/>
    </w:rPr>
  </w:style>
  <w:style w:type="paragraph" w:styleId="Heading5">
    <w:name w:val="heading 5"/>
    <w:basedOn w:val="Normal"/>
    <w:next w:val="Normal"/>
    <w:rsid w:val="001B12F7"/>
    <w:pPr>
      <w:keepNext/>
      <w:keepLines/>
      <w:spacing w:before="240" w:after="80"/>
      <w:outlineLvl w:val="4"/>
    </w:pPr>
    <w:rPr>
      <w:color w:val="666666"/>
    </w:rPr>
  </w:style>
  <w:style w:type="paragraph" w:styleId="Heading6">
    <w:name w:val="heading 6"/>
    <w:basedOn w:val="Normal"/>
    <w:next w:val="Normal"/>
    <w:rsid w:val="001B12F7"/>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1B12F7"/>
    <w:tblPr>
      <w:tblCellMar>
        <w:top w:w="0" w:type="dxa"/>
        <w:left w:w="0" w:type="dxa"/>
        <w:bottom w:w="0" w:type="dxa"/>
        <w:right w:w="0" w:type="dxa"/>
      </w:tblCellMar>
    </w:tblPr>
  </w:style>
  <w:style w:type="paragraph" w:styleId="Title">
    <w:name w:val="Title"/>
    <w:basedOn w:val="Normal"/>
    <w:next w:val="Normal"/>
    <w:rsid w:val="001B12F7"/>
    <w:pPr>
      <w:keepNext/>
      <w:keepLines/>
      <w:spacing w:after="60"/>
    </w:pPr>
    <w:rPr>
      <w:sz w:val="52"/>
      <w:szCs w:val="52"/>
    </w:rPr>
  </w:style>
  <w:style w:type="paragraph" w:styleId="Subtitle">
    <w:name w:val="Subtitle"/>
    <w:basedOn w:val="Normal"/>
    <w:next w:val="Normal"/>
    <w:rsid w:val="001B12F7"/>
    <w:pPr>
      <w:keepNext/>
      <w:keepLines/>
      <w:spacing w:after="320"/>
    </w:pPr>
    <w:rPr>
      <w:color w:val="666666"/>
      <w:sz w:val="30"/>
      <w:szCs w:val="30"/>
    </w:rPr>
  </w:style>
  <w:style w:type="character" w:styleId="Hyperlink">
    <w:name w:val="Hyperlink"/>
    <w:basedOn w:val="DefaultParagraphFont"/>
    <w:uiPriority w:val="99"/>
    <w:unhideWhenUsed/>
    <w:rsid w:val="001632B7"/>
    <w:rPr>
      <w:color w:val="0000FF" w:themeColor="hyperlink"/>
      <w:u w:val="single"/>
    </w:rPr>
  </w:style>
  <w:style w:type="paragraph" w:styleId="ListParagraph">
    <w:name w:val="List Paragraph"/>
    <w:basedOn w:val="Normal"/>
    <w:uiPriority w:val="34"/>
    <w:qFormat/>
    <w:rsid w:val="001632B7"/>
    <w:pPr>
      <w:ind w:left="720"/>
      <w:contextualSpacing/>
    </w:pPr>
  </w:style>
  <w:style w:type="character" w:customStyle="1" w:styleId="apple-converted-space">
    <w:name w:val="apple-converted-space"/>
    <w:rsid w:val="00203D92"/>
  </w:style>
  <w:style w:type="paragraph" w:customStyle="1" w:styleId="Default">
    <w:name w:val="Default"/>
    <w:rsid w:val="002F1D3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Calibri" w:eastAsia="Calibri" w:hAnsi="Calibri" w:cs="Calibri"/>
      <w:sz w:val="24"/>
      <w:szCs w:val="24"/>
      <w:lang w:val="es-CL" w:eastAsia="en-US"/>
    </w:rPr>
  </w:style>
  <w:style w:type="paragraph" w:styleId="FootnoteText">
    <w:name w:val="footnote text"/>
    <w:basedOn w:val="Normal"/>
    <w:link w:val="FootnoteTextChar"/>
    <w:uiPriority w:val="99"/>
    <w:semiHidden/>
    <w:unhideWhenUsed/>
    <w:rsid w:val="00D269C7"/>
    <w:pPr>
      <w:spacing w:line="240" w:lineRule="auto"/>
    </w:pPr>
    <w:rPr>
      <w:sz w:val="20"/>
      <w:szCs w:val="20"/>
    </w:rPr>
  </w:style>
  <w:style w:type="character" w:customStyle="1" w:styleId="FootnoteTextChar">
    <w:name w:val="Footnote Text Char"/>
    <w:basedOn w:val="DefaultParagraphFont"/>
    <w:link w:val="FootnoteText"/>
    <w:uiPriority w:val="99"/>
    <w:semiHidden/>
    <w:rsid w:val="00D269C7"/>
    <w:rPr>
      <w:sz w:val="20"/>
      <w:szCs w:val="20"/>
    </w:rPr>
  </w:style>
  <w:style w:type="character" w:styleId="FootnoteReference">
    <w:name w:val="footnote reference"/>
    <w:basedOn w:val="DefaultParagraphFont"/>
    <w:uiPriority w:val="99"/>
    <w:semiHidden/>
    <w:unhideWhenUsed/>
    <w:rsid w:val="00D269C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 w:eastAsia="es-CL"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1632B7"/>
    <w:rPr>
      <w:color w:val="0000FF" w:themeColor="hyperlink"/>
      <w:u w:val="single"/>
    </w:rPr>
  </w:style>
  <w:style w:type="paragraph" w:styleId="ListParagraph">
    <w:name w:val="List Paragraph"/>
    <w:basedOn w:val="Normal"/>
    <w:uiPriority w:val="34"/>
    <w:qFormat/>
    <w:rsid w:val="001632B7"/>
    <w:pPr>
      <w:ind w:left="720"/>
      <w:contextualSpacing/>
    </w:pPr>
  </w:style>
  <w:style w:type="character" w:customStyle="1" w:styleId="apple-converted-space">
    <w:name w:val="apple-converted-space"/>
    <w:rsid w:val="00203D92"/>
  </w:style>
  <w:style w:type="paragraph" w:customStyle="1" w:styleId="Default">
    <w:name w:val="Default"/>
    <w:rsid w:val="002F1D3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Calibri" w:eastAsia="Calibri" w:hAnsi="Calibri" w:cs="Calibri"/>
      <w:sz w:val="24"/>
      <w:szCs w:val="24"/>
      <w:lang w:val="es-CL" w:eastAsia="en-US"/>
    </w:rPr>
  </w:style>
  <w:style w:type="paragraph" w:styleId="FootnoteText">
    <w:name w:val="footnote text"/>
    <w:basedOn w:val="Normal"/>
    <w:link w:val="FootnoteTextChar"/>
    <w:uiPriority w:val="99"/>
    <w:semiHidden/>
    <w:unhideWhenUsed/>
    <w:rsid w:val="00D269C7"/>
    <w:pPr>
      <w:spacing w:line="240" w:lineRule="auto"/>
    </w:pPr>
    <w:rPr>
      <w:sz w:val="20"/>
      <w:szCs w:val="20"/>
    </w:rPr>
  </w:style>
  <w:style w:type="character" w:customStyle="1" w:styleId="FootnoteTextChar">
    <w:name w:val="Texto nota pie Car"/>
    <w:basedOn w:val="DefaultParagraphFont"/>
    <w:link w:val="FootnoteText"/>
    <w:uiPriority w:val="99"/>
    <w:semiHidden/>
    <w:rsid w:val="00D269C7"/>
    <w:rPr>
      <w:sz w:val="20"/>
      <w:szCs w:val="20"/>
    </w:rPr>
  </w:style>
  <w:style w:type="character" w:styleId="FootnoteReference">
    <w:name w:val="footnote reference"/>
    <w:basedOn w:val="DefaultParagraphFont"/>
    <w:uiPriority w:val="99"/>
    <w:semiHidden/>
    <w:unhideWhenUsed/>
    <w:rsid w:val="00D269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berho@uct.c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2EF70-A454-2B42-ACEC-B8AF6AF50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4875</Words>
  <Characters>27794</Characters>
  <Application>Microsoft Macintosh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credito</dc:creator>
  <cp:lastModifiedBy>María Belén Pepe</cp:lastModifiedBy>
  <cp:revision>3</cp:revision>
  <dcterms:created xsi:type="dcterms:W3CDTF">2018-01-06T00:24:00Z</dcterms:created>
  <dcterms:modified xsi:type="dcterms:W3CDTF">2018-02-28T21:43:00Z</dcterms:modified>
</cp:coreProperties>
</file>